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Default="00D87FB5" w:rsidP="00D87FB5">
      <w:pPr>
        <w:jc w:val="center"/>
        <w:rPr>
          <w:rFonts w:asciiTheme="minorHAnsi" w:eastAsia="Arial" w:hAnsiTheme="minorHAnsi" w:cstheme="minorHAnsi"/>
          <w:b/>
          <w:sz w:val="48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b/>
          <w:sz w:val="48"/>
          <w:lang w:val="pt-PT" w:eastAsia="pt-PT" w:bidi="pt-PT"/>
        </w:rPr>
        <w:t xml:space="preserve">RELATÓRIO DE GESTÃO </w:t>
      </w:r>
    </w:p>
    <w:p w:rsidR="00D87FB5" w:rsidRPr="00E81A0C" w:rsidRDefault="007323D3" w:rsidP="00D87FB5">
      <w:pPr>
        <w:jc w:val="center"/>
        <w:rPr>
          <w:rFonts w:asciiTheme="minorHAnsi" w:eastAsia="Arial" w:hAnsiTheme="minorHAnsi" w:cstheme="minorHAnsi"/>
          <w:b/>
          <w:sz w:val="48"/>
          <w:lang w:val="pt-PT" w:eastAsia="pt-PT" w:bidi="pt-PT"/>
        </w:rPr>
      </w:pPr>
      <w:r>
        <w:rPr>
          <w:rFonts w:asciiTheme="minorHAnsi" w:eastAsia="Arial" w:hAnsiTheme="minorHAnsi" w:cstheme="minorHAnsi"/>
          <w:b/>
          <w:sz w:val="48"/>
          <w:lang w:val="pt-PT" w:eastAsia="pt-PT" w:bidi="pt-PT"/>
        </w:rPr>
        <w:t>2023</w:t>
      </w: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b/>
          <w:lang w:val="pt-PT" w:eastAsia="pt-PT" w:bidi="pt-PT"/>
        </w:rPr>
        <w:br w:type="page"/>
      </w: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sdt>
      <w:sdtPr>
        <w:rPr>
          <w:rFonts w:asciiTheme="minorHAnsi" w:hAnsiTheme="minorHAnsi" w:cstheme="minorHAnsi"/>
          <w:sz w:val="24"/>
          <w:szCs w:val="24"/>
        </w:rPr>
        <w:id w:val="228964915"/>
        <w:docPartObj>
          <w:docPartGallery w:val="Table of Contents"/>
          <w:docPartUnique/>
        </w:docPartObj>
      </w:sdtPr>
      <w:sdtEndPr>
        <w:rPr>
          <w:rFonts w:eastAsia="Times New Roman"/>
          <w:b/>
          <w:bCs/>
          <w:color w:val="auto"/>
        </w:rPr>
      </w:sdtEndPr>
      <w:sdtContent>
        <w:p w:rsidR="00D87FB5" w:rsidRPr="00E81A0C" w:rsidRDefault="00D87FB5" w:rsidP="00D87FB5">
          <w:pPr>
            <w:pStyle w:val="CabealhodoSumrio"/>
            <w:jc w:val="both"/>
            <w:rPr>
              <w:rFonts w:asciiTheme="minorHAnsi" w:hAnsiTheme="minorHAnsi" w:cstheme="minorHAnsi"/>
              <w:sz w:val="24"/>
              <w:szCs w:val="24"/>
            </w:rPr>
          </w:pPr>
          <w:r w:rsidRPr="00E81A0C">
            <w:rPr>
              <w:rFonts w:asciiTheme="minorHAnsi" w:hAnsiTheme="minorHAnsi" w:cstheme="minorHAnsi"/>
              <w:sz w:val="24"/>
              <w:szCs w:val="24"/>
            </w:rPr>
            <w:t>Sumário</w:t>
          </w:r>
        </w:p>
        <w:p w:rsidR="001B1834" w:rsidRDefault="00D87FB5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E81A0C">
            <w:rPr>
              <w:rFonts w:asciiTheme="minorHAnsi" w:hAnsiTheme="minorHAnsi" w:cstheme="minorHAnsi"/>
            </w:rPr>
            <w:fldChar w:fldCharType="begin"/>
          </w:r>
          <w:r w:rsidRPr="00E81A0C">
            <w:rPr>
              <w:rFonts w:asciiTheme="minorHAnsi" w:hAnsiTheme="minorHAnsi" w:cstheme="minorHAnsi"/>
            </w:rPr>
            <w:instrText xml:space="preserve"> TOC \o "1-3" \h \z \u </w:instrText>
          </w:r>
          <w:r w:rsidRPr="00E81A0C">
            <w:rPr>
              <w:rFonts w:asciiTheme="minorHAnsi" w:hAnsiTheme="minorHAnsi" w:cstheme="minorHAnsi"/>
            </w:rPr>
            <w:fldChar w:fldCharType="separate"/>
          </w:r>
          <w:hyperlink w:anchor="_Toc164157278" w:history="1">
            <w:r w:rsidR="001B1834" w:rsidRPr="00003560">
              <w:rPr>
                <w:rStyle w:val="Hyperlink"/>
                <w:rFonts w:eastAsia="Arial" w:cstheme="minorHAnsi"/>
                <w:noProof/>
                <w:lang w:val="pt-PT" w:eastAsia="pt-PT" w:bidi="pt-PT"/>
              </w:rPr>
              <w:t>1-</w:t>
            </w:r>
            <w:r w:rsidR="001B183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B1834" w:rsidRPr="00003560">
              <w:rPr>
                <w:rStyle w:val="Hyperlink"/>
                <w:rFonts w:eastAsia="Arial" w:cstheme="minorHAnsi"/>
                <w:noProof/>
                <w:lang w:val="pt-PT" w:eastAsia="pt-PT" w:bidi="pt-PT"/>
              </w:rPr>
              <w:t>BASE LEGAL</w:t>
            </w:r>
            <w:r w:rsidR="001B1834">
              <w:rPr>
                <w:noProof/>
                <w:webHidden/>
              </w:rPr>
              <w:tab/>
            </w:r>
            <w:r w:rsidR="001B1834">
              <w:rPr>
                <w:noProof/>
                <w:webHidden/>
              </w:rPr>
              <w:fldChar w:fldCharType="begin"/>
            </w:r>
            <w:r w:rsidR="001B1834">
              <w:rPr>
                <w:noProof/>
                <w:webHidden/>
              </w:rPr>
              <w:instrText xml:space="preserve"> PAGEREF _Toc164157278 \h </w:instrText>
            </w:r>
            <w:r w:rsidR="001B1834">
              <w:rPr>
                <w:noProof/>
                <w:webHidden/>
              </w:rPr>
            </w:r>
            <w:r w:rsidR="001B1834">
              <w:rPr>
                <w:noProof/>
                <w:webHidden/>
              </w:rPr>
              <w:fldChar w:fldCharType="separate"/>
            </w:r>
            <w:r w:rsidR="001B1834">
              <w:rPr>
                <w:noProof/>
                <w:webHidden/>
              </w:rPr>
              <w:t>3</w:t>
            </w:r>
            <w:r w:rsidR="001B1834">
              <w:rPr>
                <w:noProof/>
                <w:webHidden/>
              </w:rPr>
              <w:fldChar w:fldCharType="end"/>
            </w:r>
          </w:hyperlink>
        </w:p>
        <w:p w:rsidR="001B1834" w:rsidRDefault="001B1834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157279" w:history="1">
            <w:r w:rsidRPr="00003560">
              <w:rPr>
                <w:rStyle w:val="Hyperlink"/>
                <w:rFonts w:eastAsia="Arial" w:cstheme="minorHAnsi"/>
                <w:noProof/>
                <w:lang w:val="pt-PT" w:eastAsia="pt-PT" w:bidi="pt-PT"/>
              </w:rPr>
              <w:t>2-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03560">
              <w:rPr>
                <w:rStyle w:val="Hyperlink"/>
                <w:rFonts w:eastAsia="Arial" w:cstheme="minorHAnsi"/>
                <w:noProof/>
                <w:lang w:val="pt-PT" w:eastAsia="pt-PT" w:bidi="pt-PT"/>
              </w:rPr>
              <w:t>DECLARAÇÕES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_Toc164157279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834" w:rsidRDefault="001B1834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157280" w:history="1">
            <w:r w:rsidRPr="00003560">
              <w:rPr>
                <w:rStyle w:val="Hyperlink"/>
                <w:rFonts w:eastAsia="Arial" w:cstheme="minorHAnsi"/>
                <w:noProof/>
                <w:lang w:val="pt-PT" w:eastAsia="pt-PT" w:bidi="pt-PT"/>
              </w:rPr>
              <w:t>3-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03560">
              <w:rPr>
                <w:rStyle w:val="Hyperlink"/>
                <w:rFonts w:eastAsia="Arial" w:cstheme="minorHAnsi"/>
                <w:noProof/>
                <w:lang w:val="pt-PT" w:eastAsia="pt-PT" w:bidi="pt-PT"/>
              </w:rPr>
              <w:t>GASTO DE DESPESA COM PESSOAL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_Toc164157280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834" w:rsidRDefault="001B1834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157281" w:history="1">
            <w:r w:rsidRPr="00003560">
              <w:rPr>
                <w:rStyle w:val="Hyperlink"/>
                <w:rFonts w:eastAsia="Arial" w:cstheme="minorHAnsi"/>
                <w:noProof/>
                <w:lang w:val="pt-PT" w:eastAsia="pt-PT" w:bidi="pt-PT"/>
              </w:rPr>
              <w:t>4-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03560">
              <w:rPr>
                <w:rStyle w:val="Hyperlink"/>
                <w:rFonts w:cstheme="minorHAnsi"/>
                <w:noProof/>
                <w:lang w:val="pt-PT" w:eastAsia="pt-PT" w:bidi="pt-PT"/>
              </w:rPr>
              <w:t>ÍNDICE APLICADO EM SERVIÇO PÚBLICO DE SAÚDE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_Toc164157281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834" w:rsidRDefault="001B1834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157282" w:history="1">
            <w:r w:rsidRPr="00003560">
              <w:rPr>
                <w:rStyle w:val="Hyperlink"/>
                <w:rFonts w:cstheme="minorHAnsi"/>
                <w:noProof/>
              </w:rPr>
              <w:t>5-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03560">
              <w:rPr>
                <w:rStyle w:val="Hyperlink"/>
                <w:rFonts w:eastAsia="Arial" w:cstheme="minorHAnsi"/>
                <w:noProof/>
                <w:lang w:val="pt-PT" w:eastAsia="pt-PT" w:bidi="pt-PT"/>
              </w:rPr>
              <w:t>ÍNDICE APLICADO EM MANUTENÇÃO E DESENVOLVIMENTO DE ENSINO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_Toc164157282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834" w:rsidRDefault="001B1834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157283" w:history="1">
            <w:r w:rsidRPr="00003560">
              <w:rPr>
                <w:rStyle w:val="Hyperlink"/>
                <w:rFonts w:cstheme="minorHAnsi"/>
                <w:noProof/>
                <w:lang w:bidi="pt-PT"/>
              </w:rPr>
              <w:t>6-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03560">
              <w:rPr>
                <w:rStyle w:val="Hyperlink"/>
                <w:rFonts w:cstheme="minorHAnsi"/>
                <w:noProof/>
                <w:lang w:bidi="pt-PT"/>
              </w:rPr>
              <w:t>SISTEMA INTEGRADO DE TRANSFERÊNCIAS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_Toc164157283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834" w:rsidRDefault="001B1834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157284" w:history="1">
            <w:r w:rsidRPr="00003560">
              <w:rPr>
                <w:rStyle w:val="Hyperlink"/>
                <w:rFonts w:cstheme="minorHAnsi"/>
                <w:noProof/>
                <w:lang w:val="pt-PT" w:eastAsia="pt-PT" w:bidi="pt-PT"/>
              </w:rPr>
              <w:t>7-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03560">
              <w:rPr>
                <w:rStyle w:val="Hyperlink"/>
                <w:rFonts w:cstheme="minorHAnsi"/>
                <w:noProof/>
                <w:lang w:val="pt-PT" w:eastAsia="pt-PT" w:bidi="pt-PT"/>
              </w:rPr>
              <w:t>DÍVIDA CONSOLIDADA LÍQUIDA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_Toc164157284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834" w:rsidRDefault="001B1834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157285" w:history="1">
            <w:r w:rsidRPr="00003560">
              <w:rPr>
                <w:rStyle w:val="Hyperlink"/>
                <w:rFonts w:cstheme="minorHAnsi"/>
                <w:noProof/>
                <w:lang w:val="pt-PT" w:eastAsia="pt-PT" w:bidi="pt-PT"/>
              </w:rPr>
              <w:t>8-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03560">
              <w:rPr>
                <w:rStyle w:val="Hyperlink"/>
                <w:rFonts w:cstheme="minorHAnsi"/>
                <w:noProof/>
                <w:lang w:val="pt-PT" w:eastAsia="pt-PT" w:bidi="pt-PT"/>
              </w:rPr>
              <w:t>OPERAÇÕES DE CRÉDITO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_Toc164157285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7FB5" w:rsidRPr="00E81A0C" w:rsidRDefault="00D87FB5" w:rsidP="00D87FB5">
          <w:pPr>
            <w:jc w:val="both"/>
            <w:rPr>
              <w:rFonts w:asciiTheme="minorHAnsi" w:hAnsiTheme="minorHAnsi" w:cstheme="minorHAnsi"/>
            </w:rPr>
          </w:pPr>
          <w:r w:rsidRPr="00E81A0C">
            <w:rPr>
              <w:rFonts w:asciiTheme="minorHAnsi" w:hAnsiTheme="minorHAnsi" w:cstheme="minorHAnsi"/>
              <w:b/>
              <w:bCs/>
            </w:rPr>
            <w:fldChar w:fldCharType="end"/>
          </w:r>
        </w:p>
      </w:sdtContent>
    </w:sdt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pStyle w:val="Ttulo1"/>
        <w:numPr>
          <w:ilvl w:val="0"/>
          <w:numId w:val="1"/>
        </w:numPr>
        <w:jc w:val="both"/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</w:pPr>
      <w:bookmarkStart w:id="0" w:name="_Toc164157278"/>
      <w:r w:rsidRPr="00E81A0C"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  <w:lastRenderedPageBreak/>
        <w:t>BASE LEGAL</w:t>
      </w:r>
      <w:bookmarkEnd w:id="0"/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 xml:space="preserve">A lei 12527/2011 (LAI), em seu art. 8° §1°, inciso V, determina que: </w:t>
      </w:r>
    </w:p>
    <w:p w:rsidR="00D87FB5" w:rsidRPr="00E81A0C" w:rsidRDefault="00D87FB5" w:rsidP="00D87FB5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>Art. 8º É dever dos órgãos e entidades públicas promover, independentemente de requerimentos, a divulgação em local de fácil acesso, no âmbito de suas competências, de informações de interesse coletivo ou geral por eles produzidas ou custodiadas.</w:t>
      </w:r>
    </w:p>
    <w:p w:rsidR="00D87FB5" w:rsidRPr="00E81A0C" w:rsidRDefault="00D87FB5" w:rsidP="00D87FB5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>§ 1º Na divulgação das informações a que se refere o caput, deverão constar, no mínimo:</w:t>
      </w:r>
    </w:p>
    <w:p w:rsidR="00D87FB5" w:rsidRPr="00E81A0C" w:rsidRDefault="00D87FB5" w:rsidP="00D87FB5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>V - dados gerais para o acompanhamento de programas, ações, projetos e obras de órgãos e entidades; e</w:t>
      </w:r>
    </w:p>
    <w:p w:rsidR="00D87FB5" w:rsidRPr="00E81A0C" w:rsidRDefault="00D87FB5" w:rsidP="00D87FB5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>Diante disso, o Município de Mandaguaçu apresenta o relatório de gestã</w:t>
      </w:r>
      <w:r w:rsidR="007323D3">
        <w:rPr>
          <w:rFonts w:asciiTheme="minorHAnsi" w:eastAsia="Arial" w:hAnsiTheme="minorHAnsi" w:cstheme="minorHAnsi"/>
          <w:lang w:val="pt-PT" w:eastAsia="pt-PT" w:bidi="pt-PT"/>
        </w:rPr>
        <w:t>o e atividades do ano de 2023</w:t>
      </w:r>
      <w:r w:rsidRPr="00E81A0C">
        <w:rPr>
          <w:rFonts w:asciiTheme="minorHAnsi" w:eastAsia="Arial" w:hAnsiTheme="minorHAnsi" w:cstheme="minorHAnsi"/>
          <w:lang w:val="pt-PT" w:eastAsia="pt-PT" w:bidi="pt-PT"/>
        </w:rPr>
        <w:t xml:space="preserve">. </w:t>
      </w: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br w:type="page"/>
      </w:r>
    </w:p>
    <w:p w:rsidR="00D87FB5" w:rsidRPr="00E81A0C" w:rsidRDefault="00D87FB5" w:rsidP="00D87FB5">
      <w:pPr>
        <w:pStyle w:val="Ttulo1"/>
        <w:numPr>
          <w:ilvl w:val="0"/>
          <w:numId w:val="1"/>
        </w:numPr>
        <w:jc w:val="both"/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</w:pPr>
      <w:bookmarkStart w:id="1" w:name="_Toc164157279"/>
      <w:r w:rsidRPr="00E81A0C"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  <w:lastRenderedPageBreak/>
        <w:t>DECLARAÇÕES</w:t>
      </w:r>
      <w:bookmarkEnd w:id="1"/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7323D3" w:rsidP="00D87FB5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>
        <w:rPr>
          <w:rFonts w:asciiTheme="minorHAnsi" w:eastAsia="Arial" w:hAnsiTheme="minorHAnsi" w:cstheme="minorHAnsi"/>
          <w:lang w:val="pt-PT" w:eastAsia="pt-PT" w:bidi="pt-PT"/>
        </w:rPr>
        <w:t>Ao longo de 2023</w:t>
      </w:r>
      <w:r w:rsidR="00D87FB5" w:rsidRPr="00E81A0C">
        <w:rPr>
          <w:rFonts w:asciiTheme="minorHAnsi" w:eastAsia="Arial" w:hAnsiTheme="minorHAnsi" w:cstheme="minorHAnsi"/>
          <w:lang w:val="pt-PT" w:eastAsia="pt-PT" w:bidi="pt-PT"/>
        </w:rPr>
        <w:t xml:space="preserve">, conforme declaração pública firmada pelo Chefe do Poder Executivo, foram realizadas audiências para avaliação das Metas Fiscais, sendo o chamamento público veiculado no Jornal O Regional. </w:t>
      </w:r>
    </w:p>
    <w:p w:rsidR="00D87FB5" w:rsidRPr="00E81A0C" w:rsidRDefault="00D87FB5" w:rsidP="00D87FB5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>Conforme as declarações firmadas pelo Chefe do Poder Executivo, os demonstrativos componentes do Relatório Resumido da Execução Orçamentária e do Relatório de Gestão Fiscal foram regular e tempestivamente publicados no órgão de Divulgação Oficial do Município.</w:t>
      </w:r>
    </w:p>
    <w:p w:rsidR="00D87FB5" w:rsidRPr="00E81A0C" w:rsidRDefault="00D87FB5" w:rsidP="00D87FB5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 xml:space="preserve">Em atenção ao disposto na LC 131/09, que adicionou </w:t>
      </w:r>
      <w:r>
        <w:rPr>
          <w:rFonts w:asciiTheme="minorHAnsi" w:eastAsia="Arial" w:hAnsiTheme="minorHAnsi" w:cstheme="minorHAnsi"/>
          <w:lang w:val="pt-PT" w:eastAsia="pt-PT" w:bidi="pt-PT"/>
        </w:rPr>
        <w:t xml:space="preserve">o Parágrafo Único ao art. 48 da </w:t>
      </w:r>
      <w:r w:rsidRPr="00E81A0C">
        <w:rPr>
          <w:rFonts w:asciiTheme="minorHAnsi" w:eastAsia="Arial" w:hAnsiTheme="minorHAnsi" w:cstheme="minorHAnsi"/>
          <w:lang w:val="pt-PT" w:eastAsia="pt-PT" w:bidi="pt-PT"/>
        </w:rPr>
        <w:t>Lei de Responsabilidade Fiscal, o Poder Executivo efe</w:t>
      </w:r>
      <w:r>
        <w:rPr>
          <w:rFonts w:asciiTheme="minorHAnsi" w:eastAsia="Arial" w:hAnsiTheme="minorHAnsi" w:cstheme="minorHAnsi"/>
          <w:lang w:val="pt-PT" w:eastAsia="pt-PT" w:bidi="pt-PT"/>
        </w:rPr>
        <w:t xml:space="preserve">tuou declaração afirmando estar </w:t>
      </w:r>
      <w:r w:rsidRPr="00E81A0C">
        <w:rPr>
          <w:rFonts w:asciiTheme="minorHAnsi" w:eastAsia="Arial" w:hAnsiTheme="minorHAnsi" w:cstheme="minorHAnsi"/>
          <w:lang w:val="pt-PT" w:eastAsia="pt-PT" w:bidi="pt-PT"/>
        </w:rPr>
        <w:t xml:space="preserve">adequado à norma legal, inclusive no que respeita </w:t>
      </w:r>
      <w:r>
        <w:rPr>
          <w:rFonts w:asciiTheme="minorHAnsi" w:eastAsia="Arial" w:hAnsiTheme="minorHAnsi" w:cstheme="minorHAnsi"/>
          <w:lang w:val="pt-PT" w:eastAsia="pt-PT" w:bidi="pt-PT"/>
        </w:rPr>
        <w:t xml:space="preserve">aos aspectos regulamentados por </w:t>
      </w:r>
      <w:r w:rsidRPr="00E81A0C">
        <w:rPr>
          <w:rFonts w:asciiTheme="minorHAnsi" w:eastAsia="Arial" w:hAnsiTheme="minorHAnsi" w:cstheme="minorHAnsi"/>
          <w:lang w:val="pt-PT" w:eastAsia="pt-PT" w:bidi="pt-PT"/>
        </w:rPr>
        <w:t>este Tribunal mediante a edição da Instrução Normativa nº 89/13</w:t>
      </w:r>
      <w:r>
        <w:rPr>
          <w:rFonts w:asciiTheme="minorHAnsi" w:eastAsia="Arial" w:hAnsiTheme="minorHAnsi" w:cstheme="minorHAnsi"/>
          <w:lang w:val="pt-PT" w:eastAsia="pt-PT" w:bidi="pt-PT"/>
        </w:rPr>
        <w:t>.</w:t>
      </w: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br w:type="page"/>
      </w:r>
    </w:p>
    <w:p w:rsidR="00D87FB5" w:rsidRPr="00E81A0C" w:rsidRDefault="00D87FB5" w:rsidP="00D87FB5">
      <w:pPr>
        <w:pStyle w:val="Ttulo1"/>
        <w:numPr>
          <w:ilvl w:val="0"/>
          <w:numId w:val="1"/>
        </w:numPr>
        <w:jc w:val="both"/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</w:pPr>
      <w:bookmarkStart w:id="2" w:name="_Toc164157280"/>
      <w:r w:rsidRPr="00E81A0C"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  <w:lastRenderedPageBreak/>
        <w:t>GASTO DE DESPESA COM PESSOAL</w:t>
      </w:r>
      <w:bookmarkEnd w:id="2"/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>No primeiro semest</w:t>
      </w:r>
      <w:r w:rsidR="007323D3">
        <w:rPr>
          <w:rFonts w:asciiTheme="minorHAnsi" w:eastAsia="Arial" w:hAnsiTheme="minorHAnsi" w:cstheme="minorHAnsi"/>
          <w:lang w:val="pt-PT" w:eastAsia="pt-PT" w:bidi="pt-PT"/>
        </w:rPr>
        <w:t xml:space="preserve">re de 2023, em apuração cuja data-base foi 30/06/2023, </w:t>
      </w:r>
      <w:r w:rsidR="007323D3" w:rsidRPr="007323D3">
        <w:rPr>
          <w:rFonts w:asciiTheme="minorHAnsi" w:eastAsia="Arial" w:hAnsiTheme="minorHAnsi" w:cstheme="minorHAnsi"/>
          <w:lang w:val="pt-PT" w:eastAsia="pt-PT" w:bidi="pt-PT"/>
        </w:rPr>
        <w:t xml:space="preserve">a despesa total com pessoal do Poder </w:t>
      </w:r>
      <w:r w:rsidR="007323D3">
        <w:rPr>
          <w:rFonts w:asciiTheme="minorHAnsi" w:eastAsia="Arial" w:hAnsiTheme="minorHAnsi" w:cstheme="minorHAnsi"/>
          <w:lang w:val="pt-PT" w:eastAsia="pt-PT" w:bidi="pt-PT"/>
        </w:rPr>
        <w:t>Executivo</w:t>
      </w:r>
      <w:r w:rsidR="007323D3" w:rsidRPr="007323D3">
        <w:rPr>
          <w:rFonts w:asciiTheme="minorHAnsi" w:eastAsia="Arial" w:hAnsiTheme="minorHAnsi" w:cstheme="minorHAnsi"/>
          <w:lang w:val="pt-PT" w:eastAsia="pt-PT" w:bidi="pt-PT"/>
        </w:rPr>
        <w:t xml:space="preserve"> ultrapassou </w:t>
      </w:r>
      <w:r w:rsidR="007323D3">
        <w:rPr>
          <w:rFonts w:asciiTheme="minorHAnsi" w:eastAsia="Arial" w:hAnsiTheme="minorHAnsi" w:cstheme="minorHAnsi"/>
          <w:lang w:val="pt-PT" w:eastAsia="pt-PT" w:bidi="pt-PT"/>
        </w:rPr>
        <w:t>49,40</w:t>
      </w:r>
      <w:r w:rsidR="007323D3" w:rsidRPr="007323D3">
        <w:rPr>
          <w:rFonts w:asciiTheme="minorHAnsi" w:eastAsia="Arial" w:hAnsiTheme="minorHAnsi" w:cstheme="minorHAnsi"/>
          <w:lang w:val="pt-PT" w:eastAsia="pt-PT" w:bidi="pt-PT"/>
        </w:rPr>
        <w:t>% da Receita Corrente Líquida, excedendo, portanto, 90% do limite previsto no artigo 20, inciso III, alínea “b”, da mesma lei, no período de apuração encerrado em 30/06/2023.</w:t>
      </w:r>
      <w:r w:rsidR="007323D3">
        <w:rPr>
          <w:rFonts w:asciiTheme="minorHAnsi" w:eastAsia="Arial" w:hAnsiTheme="minorHAnsi" w:cstheme="minorHAnsi"/>
          <w:lang w:val="pt-PT" w:eastAsia="pt-PT" w:bidi="pt-PT"/>
        </w:rPr>
        <w:t xml:space="preserve"> No segundo semestre de 2023, </w:t>
      </w:r>
      <w:r w:rsidR="007323D3" w:rsidRPr="007323D3">
        <w:rPr>
          <w:rFonts w:asciiTheme="minorHAnsi" w:eastAsia="Arial" w:hAnsiTheme="minorHAnsi" w:cstheme="minorHAnsi"/>
          <w:lang w:val="pt-PT" w:eastAsia="pt-PT" w:bidi="pt-PT"/>
        </w:rPr>
        <w:t xml:space="preserve">a despesa total com pessoal do Poder </w:t>
      </w:r>
      <w:r w:rsidR="007323D3">
        <w:rPr>
          <w:rFonts w:asciiTheme="minorHAnsi" w:eastAsia="Arial" w:hAnsiTheme="minorHAnsi" w:cstheme="minorHAnsi"/>
          <w:lang w:val="pt-PT" w:eastAsia="pt-PT" w:bidi="pt-PT"/>
        </w:rPr>
        <w:t>Executivo</w:t>
      </w:r>
      <w:r w:rsidR="007323D3" w:rsidRPr="007323D3">
        <w:rPr>
          <w:rFonts w:asciiTheme="minorHAnsi" w:eastAsia="Arial" w:hAnsiTheme="minorHAnsi" w:cstheme="minorHAnsi"/>
          <w:lang w:val="pt-PT" w:eastAsia="pt-PT" w:bidi="pt-PT"/>
        </w:rPr>
        <w:t xml:space="preserve"> ultrapassou 48,</w:t>
      </w:r>
      <w:r w:rsidR="007323D3">
        <w:rPr>
          <w:rFonts w:asciiTheme="minorHAnsi" w:eastAsia="Arial" w:hAnsiTheme="minorHAnsi" w:cstheme="minorHAnsi"/>
          <w:lang w:val="pt-PT" w:eastAsia="pt-PT" w:bidi="pt-PT"/>
        </w:rPr>
        <w:t>9</w:t>
      </w:r>
      <w:r w:rsidR="007323D3" w:rsidRPr="007323D3">
        <w:rPr>
          <w:rFonts w:asciiTheme="minorHAnsi" w:eastAsia="Arial" w:hAnsiTheme="minorHAnsi" w:cstheme="minorHAnsi"/>
          <w:lang w:val="pt-PT" w:eastAsia="pt-PT" w:bidi="pt-PT"/>
        </w:rPr>
        <w:t>6% da Receita Corrente Líquida, excedendo, portanto, 90% do limite previsto no artigo 20, inciso III, alínea “b”, da mesma lei, no período de apuração encerrado em 31/12/2023.</w:t>
      </w: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Default="007323D3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7323D3">
        <w:rPr>
          <w:rFonts w:asciiTheme="minorHAnsi" w:eastAsia="Arial" w:hAnsiTheme="minorHAnsi" w:cstheme="minorHAnsi"/>
          <w:lang w:val="pt-PT" w:eastAsia="pt-PT" w:bidi="pt-PT"/>
        </w:rPr>
        <w:drawing>
          <wp:inline distT="0" distB="0" distL="0" distR="0" wp14:anchorId="2E2C9F59" wp14:editId="073DA6DF">
            <wp:extent cx="5400040" cy="1744980"/>
            <wp:effectExtent l="0" t="0" r="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3D3" w:rsidRPr="00E81A0C" w:rsidRDefault="007323D3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7323D3">
        <w:rPr>
          <w:rFonts w:asciiTheme="minorHAnsi" w:eastAsia="Arial" w:hAnsiTheme="minorHAnsi" w:cstheme="minorHAnsi"/>
          <w:lang w:val="pt-PT" w:eastAsia="pt-PT" w:bidi="pt-PT"/>
        </w:rPr>
        <w:drawing>
          <wp:inline distT="0" distB="0" distL="0" distR="0" wp14:anchorId="3318E4D2" wp14:editId="5FB60226">
            <wp:extent cx="5400040" cy="260350"/>
            <wp:effectExtent l="0" t="0" r="0" b="635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br w:type="page"/>
      </w:r>
    </w:p>
    <w:p w:rsidR="00D87FB5" w:rsidRPr="00E81A0C" w:rsidRDefault="00D87FB5" w:rsidP="00D87FB5">
      <w:pPr>
        <w:pStyle w:val="Ttulo1"/>
        <w:numPr>
          <w:ilvl w:val="0"/>
          <w:numId w:val="1"/>
        </w:numPr>
        <w:jc w:val="both"/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</w:pPr>
      <w:bookmarkStart w:id="3" w:name="_Toc164157281"/>
      <w:r w:rsidRPr="00E81A0C">
        <w:rPr>
          <w:rFonts w:asciiTheme="minorHAnsi" w:hAnsiTheme="minorHAnsi" w:cstheme="minorHAnsi"/>
          <w:sz w:val="24"/>
          <w:szCs w:val="24"/>
          <w:lang w:val="pt-PT" w:eastAsia="pt-PT" w:bidi="pt-PT"/>
        </w:rPr>
        <w:lastRenderedPageBreak/>
        <w:t>ÍNDICE APLICADO EM SERVIÇO PÚBLICO DE SAÚDE</w:t>
      </w:r>
      <w:bookmarkEnd w:id="3"/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>A Constituição Federal determina que os municípios aplicarão anualmente em ações e serviços públicos de saúde no mínimo 15% do produto da arrecadação dos impostos a que se refere o art. 156 e dos recursos de que tratam os arts. 157 e 159, I, alínea b e parágrafo 3º</w:t>
      </w:r>
      <w:r>
        <w:rPr>
          <w:rFonts w:asciiTheme="minorHAnsi" w:eastAsia="Arial" w:hAnsiTheme="minorHAnsi" w:cstheme="minorHAnsi"/>
          <w:lang w:val="pt-PT" w:eastAsia="pt-PT" w:bidi="pt-PT"/>
        </w:rPr>
        <w:t>, estando o Município de Mandaguaçu dentro dos parâmetros determinados pela Lei</w:t>
      </w:r>
      <w:r w:rsidRPr="00E81A0C">
        <w:rPr>
          <w:rFonts w:asciiTheme="minorHAnsi" w:eastAsia="Arial" w:hAnsiTheme="minorHAnsi" w:cstheme="minorHAnsi"/>
          <w:lang w:val="pt-PT" w:eastAsia="pt-PT" w:bidi="pt-PT"/>
        </w:rPr>
        <w:t>.</w:t>
      </w: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Default="00D87FB5" w:rsidP="00D87FB5">
      <w:pPr>
        <w:ind w:left="142" w:firstLine="1418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noProof/>
        </w:rPr>
        <w:drawing>
          <wp:inline distT="0" distB="0" distL="0" distR="0" wp14:anchorId="4DDEB571" wp14:editId="73E38325">
            <wp:extent cx="3540125" cy="1657350"/>
            <wp:effectExtent l="0" t="0" r="0" b="19050"/>
            <wp:docPr id="9" name="Diagrama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D87FB5" w:rsidRDefault="00D87FB5" w:rsidP="00D87FB5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Default="00D87FB5" w:rsidP="00D87FB5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Default="007323D3" w:rsidP="00D87FB5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  <w:r w:rsidRPr="007323D3">
        <w:rPr>
          <w:rFonts w:asciiTheme="minorHAnsi" w:hAnsiTheme="minorHAnsi" w:cstheme="minorHAnsi"/>
          <w:lang w:val="pt-PT" w:eastAsia="pt-PT" w:bidi="pt-PT"/>
        </w:rPr>
        <w:drawing>
          <wp:inline distT="0" distB="0" distL="0" distR="0" wp14:anchorId="7CE1B61D" wp14:editId="34C2F043">
            <wp:extent cx="6753225" cy="3663291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67828" cy="367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3D3" w:rsidRDefault="007323D3" w:rsidP="00D87FB5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:rsidR="007323D3" w:rsidRDefault="007323D3" w:rsidP="00D87FB5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:rsidR="007323D3" w:rsidRDefault="007323D3" w:rsidP="00D87FB5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:rsidR="007323D3" w:rsidRDefault="007323D3" w:rsidP="00D87FB5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:rsidR="007323D3" w:rsidRDefault="007323D3" w:rsidP="00D87FB5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:rsidR="007323D3" w:rsidRDefault="007323D3" w:rsidP="00D87FB5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:rsidR="007323D3" w:rsidRDefault="007323D3" w:rsidP="00D87FB5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  <w:r w:rsidRPr="007323D3">
        <w:rPr>
          <w:rFonts w:asciiTheme="minorHAnsi" w:hAnsiTheme="minorHAnsi" w:cstheme="minorHAnsi"/>
          <w:lang w:val="pt-PT" w:eastAsia="pt-PT" w:bidi="pt-PT"/>
        </w:rPr>
        <w:drawing>
          <wp:inline distT="0" distB="0" distL="0" distR="0" wp14:anchorId="2AF62C1B" wp14:editId="0FFE8131">
            <wp:extent cx="6825711" cy="1732915"/>
            <wp:effectExtent l="0" t="0" r="0" b="63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2963" cy="173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FB5" w:rsidRDefault="00D87FB5" w:rsidP="00D87FB5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Default="00D87FB5" w:rsidP="00D87FB5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Default="00D87FB5" w:rsidP="00D87FB5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Default="00D87FB5" w:rsidP="00D87FB5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ind w:hanging="993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ind w:firstLine="1276"/>
        <w:jc w:val="both"/>
        <w:rPr>
          <w:rFonts w:asciiTheme="minorHAnsi" w:hAnsiTheme="minorHAnsi" w:cstheme="minorHAnsi"/>
          <w:noProof/>
        </w:rPr>
      </w:pPr>
      <w:r w:rsidRPr="00E81A0C">
        <w:rPr>
          <w:rFonts w:asciiTheme="minorHAnsi" w:hAnsiTheme="minorHAnsi" w:cstheme="minorHAnsi"/>
          <w:noProof/>
        </w:rPr>
        <w:t xml:space="preserve">           </w:t>
      </w: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hAnsiTheme="minorHAnsi" w:cstheme="minorHAnsi"/>
          <w:noProof/>
        </w:rPr>
      </w:pPr>
      <w:r w:rsidRPr="00E81A0C">
        <w:rPr>
          <w:rFonts w:asciiTheme="minorHAnsi" w:hAnsiTheme="minorHAnsi" w:cstheme="minorHAnsi"/>
          <w:noProof/>
        </w:rPr>
        <w:br w:type="page"/>
      </w:r>
    </w:p>
    <w:p w:rsidR="00D87FB5" w:rsidRPr="00E81A0C" w:rsidRDefault="00D87FB5" w:rsidP="00D87FB5">
      <w:pPr>
        <w:pStyle w:val="Ttulo1"/>
        <w:numPr>
          <w:ilvl w:val="0"/>
          <w:numId w:val="1"/>
        </w:numPr>
        <w:jc w:val="both"/>
        <w:rPr>
          <w:rFonts w:asciiTheme="minorHAnsi" w:eastAsia="Times New Roman" w:hAnsiTheme="minorHAnsi" w:cstheme="minorHAnsi"/>
          <w:noProof/>
          <w:sz w:val="24"/>
          <w:szCs w:val="24"/>
        </w:rPr>
      </w:pPr>
      <w:bookmarkStart w:id="4" w:name="_Toc164157282"/>
      <w:r w:rsidRPr="00E81A0C"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  <w:lastRenderedPageBreak/>
        <w:t>ÍNDICE APLICADO EM MANUTENÇÃO E DESENVOLVIMENTO DE ENSINO</w:t>
      </w:r>
      <w:bookmarkEnd w:id="4"/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>A Constituição Federal de acordo com o artigo 212, determina que os estados, o Distrito Federal e os municípios devem aplicar anualmente nunca menos de 25% "da receita resultante de impostos, compreendida a proveniente de transferências, na manutenção e desenvolvimento do ensino".</w:t>
      </w:r>
      <w:r>
        <w:rPr>
          <w:rFonts w:asciiTheme="minorHAnsi" w:eastAsia="Arial" w:hAnsiTheme="minorHAnsi" w:cstheme="minorHAnsi"/>
          <w:lang w:val="pt-PT" w:eastAsia="pt-PT" w:bidi="pt-PT"/>
        </w:rPr>
        <w:t xml:space="preserve"> O Município </w:t>
      </w:r>
      <w:r w:rsidR="00AE1E84">
        <w:rPr>
          <w:rFonts w:asciiTheme="minorHAnsi" w:eastAsia="Arial" w:hAnsiTheme="minorHAnsi" w:cstheme="minorHAnsi"/>
          <w:lang w:val="pt-PT" w:eastAsia="pt-PT" w:bidi="pt-PT"/>
        </w:rPr>
        <w:t xml:space="preserve">não </w:t>
      </w:r>
      <w:r>
        <w:rPr>
          <w:rFonts w:asciiTheme="minorHAnsi" w:eastAsia="Arial" w:hAnsiTheme="minorHAnsi" w:cstheme="minorHAnsi"/>
          <w:lang w:val="pt-PT" w:eastAsia="pt-PT" w:bidi="pt-PT"/>
        </w:rPr>
        <w:t xml:space="preserve">atendeu ao limite constitucional, aplicando </w:t>
      </w:r>
      <w:r w:rsidR="00AE1E84">
        <w:rPr>
          <w:rFonts w:asciiTheme="minorHAnsi" w:eastAsia="Arial" w:hAnsiTheme="minorHAnsi" w:cstheme="minorHAnsi"/>
          <w:lang w:val="pt-PT" w:eastAsia="pt-PT" w:bidi="pt-PT"/>
        </w:rPr>
        <w:t>24,96</w:t>
      </w:r>
      <w:r>
        <w:rPr>
          <w:rFonts w:asciiTheme="minorHAnsi" w:eastAsia="Arial" w:hAnsiTheme="minorHAnsi" w:cstheme="minorHAnsi"/>
          <w:lang w:val="pt-PT" w:eastAsia="pt-PT" w:bidi="pt-PT"/>
        </w:rPr>
        <w:t xml:space="preserve">%. </w:t>
      </w: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775E55" w:rsidRDefault="00D87FB5" w:rsidP="00D87FB5">
      <w:pPr>
        <w:ind w:left="142" w:firstLine="1418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noProof/>
        </w:rPr>
        <w:drawing>
          <wp:inline distT="0" distB="0" distL="0" distR="0" wp14:anchorId="5790F165" wp14:editId="6E8981CF">
            <wp:extent cx="3540125" cy="1657350"/>
            <wp:effectExtent l="0" t="0" r="0" b="19050"/>
            <wp:docPr id="12" name="Diagrama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AE1E84" w:rsidP="00D87FB5">
      <w:pPr>
        <w:ind w:hanging="851"/>
        <w:jc w:val="both"/>
        <w:rPr>
          <w:rFonts w:asciiTheme="minorHAnsi" w:hAnsiTheme="minorHAnsi" w:cstheme="minorHAnsi"/>
          <w:lang w:val="pt-PT" w:eastAsia="pt-PT" w:bidi="pt-PT"/>
        </w:rPr>
      </w:pPr>
      <w:r w:rsidRPr="00AE1E84">
        <w:rPr>
          <w:rFonts w:asciiTheme="minorHAnsi" w:hAnsiTheme="minorHAnsi" w:cstheme="minorHAnsi"/>
          <w:lang w:val="pt-PT" w:eastAsia="pt-PT" w:bidi="pt-PT"/>
        </w:rPr>
        <w:drawing>
          <wp:inline distT="0" distB="0" distL="0" distR="0" wp14:anchorId="061996FF" wp14:editId="45C67CC5">
            <wp:extent cx="6829462" cy="2457450"/>
            <wp:effectExtent l="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9011" cy="246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FB5" w:rsidRPr="00E81A0C" w:rsidRDefault="00D87FB5" w:rsidP="00D87FB5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lang w:val="pt-PT" w:eastAsia="pt-PT" w:bidi="pt-PT"/>
        </w:rPr>
        <w:br w:type="page"/>
      </w:r>
    </w:p>
    <w:p w:rsidR="00D87FB5" w:rsidRPr="00E81A0C" w:rsidRDefault="00D87FB5" w:rsidP="00D87FB5">
      <w:pPr>
        <w:pStyle w:val="Ttulo1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  <w:lang w:bidi="pt-PT"/>
        </w:rPr>
      </w:pPr>
      <w:bookmarkStart w:id="5" w:name="_Toc164157283"/>
      <w:r w:rsidRPr="00E81A0C">
        <w:rPr>
          <w:rFonts w:asciiTheme="minorHAnsi" w:hAnsiTheme="minorHAnsi" w:cstheme="minorHAnsi"/>
          <w:sz w:val="24"/>
          <w:szCs w:val="24"/>
          <w:lang w:bidi="pt-PT"/>
        </w:rPr>
        <w:lastRenderedPageBreak/>
        <w:t>SISTEMA INTEGRADO DE TRANSFERÊNCIAS</w:t>
      </w:r>
      <w:bookmarkEnd w:id="5"/>
    </w:p>
    <w:p w:rsidR="00D87FB5" w:rsidRPr="00E81A0C" w:rsidRDefault="00D87FB5" w:rsidP="00D87FB5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line="276" w:lineRule="auto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lang w:val="pt-PT" w:eastAsia="pt-PT" w:bidi="pt-PT"/>
        </w:rPr>
        <w:t>No de</w:t>
      </w:r>
      <w:r w:rsidR="007846A5">
        <w:rPr>
          <w:rFonts w:asciiTheme="minorHAnsi" w:hAnsiTheme="minorHAnsi" w:cstheme="minorHAnsi"/>
          <w:lang w:val="pt-PT" w:eastAsia="pt-PT" w:bidi="pt-PT"/>
        </w:rPr>
        <w:t>correr do exercício de 2023</w:t>
      </w:r>
      <w:r w:rsidRPr="00E81A0C">
        <w:rPr>
          <w:rFonts w:asciiTheme="minorHAnsi" w:hAnsiTheme="minorHAnsi" w:cstheme="minorHAnsi"/>
          <w:lang w:val="pt-PT" w:eastAsia="pt-PT" w:bidi="pt-PT"/>
        </w:rPr>
        <w:t>, houve um valor repassado de R$</w:t>
      </w:r>
      <w:r w:rsidR="007846A5">
        <w:rPr>
          <w:rFonts w:asciiTheme="minorHAnsi" w:hAnsiTheme="minorHAnsi" w:cstheme="minorHAnsi"/>
          <w:lang w:val="pt-PT" w:eastAsia="pt-PT" w:bidi="pt-PT"/>
        </w:rPr>
        <w:t>1.571.578,21</w:t>
      </w:r>
      <w:r w:rsidRPr="00E81A0C">
        <w:rPr>
          <w:rFonts w:asciiTheme="minorHAnsi" w:hAnsiTheme="minorHAnsi" w:cstheme="minorHAnsi"/>
          <w:lang w:val="pt-PT" w:eastAsia="pt-PT" w:bidi="pt-PT"/>
        </w:rPr>
        <w:t>, sendo que o valor da despesa foi de R$</w:t>
      </w:r>
      <w:r w:rsidR="007846A5">
        <w:rPr>
          <w:rFonts w:asciiTheme="minorHAnsi" w:hAnsiTheme="minorHAnsi" w:cstheme="minorHAnsi"/>
          <w:lang w:val="pt-PT" w:eastAsia="pt-PT" w:bidi="pt-PT"/>
        </w:rPr>
        <w:t>1.167.150,00</w:t>
      </w:r>
      <w:r w:rsidRPr="00E81A0C">
        <w:rPr>
          <w:rFonts w:asciiTheme="minorHAnsi" w:hAnsiTheme="minorHAnsi" w:cstheme="minorHAnsi"/>
          <w:lang w:val="pt-PT" w:eastAsia="pt-PT" w:bidi="pt-PT"/>
        </w:rPr>
        <w:t xml:space="preserve"> O Município de Mandaguaçu foi o concedente, havendo </w:t>
      </w:r>
      <w:r>
        <w:rPr>
          <w:rFonts w:asciiTheme="minorHAnsi" w:hAnsiTheme="minorHAnsi" w:cstheme="minorHAnsi"/>
          <w:lang w:val="pt-PT" w:eastAsia="pt-PT" w:bidi="pt-PT"/>
        </w:rPr>
        <w:t>sete</w:t>
      </w:r>
      <w:r w:rsidRPr="00E81A0C">
        <w:rPr>
          <w:rFonts w:asciiTheme="minorHAnsi" w:hAnsiTheme="minorHAnsi" w:cstheme="minorHAnsi"/>
          <w:lang w:val="pt-PT" w:eastAsia="pt-PT" w:bidi="pt-PT"/>
        </w:rPr>
        <w:t xml:space="preserve"> tomadores. </w:t>
      </w:r>
    </w:p>
    <w:p w:rsidR="00D87FB5" w:rsidRPr="00E81A0C" w:rsidRDefault="00D87FB5" w:rsidP="00D87FB5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Default="00D87FB5" w:rsidP="00D87FB5">
      <w:pPr>
        <w:ind w:hanging="851"/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Default="00D87FB5" w:rsidP="00D87FB5">
      <w:pPr>
        <w:ind w:hanging="851"/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Default="007846A5" w:rsidP="00D87FB5">
      <w:pPr>
        <w:ind w:hanging="851"/>
        <w:jc w:val="both"/>
        <w:rPr>
          <w:rFonts w:asciiTheme="minorHAnsi" w:hAnsiTheme="minorHAnsi" w:cstheme="minorHAnsi"/>
          <w:lang w:val="pt-PT" w:eastAsia="pt-PT" w:bidi="pt-PT"/>
        </w:rPr>
      </w:pPr>
      <w:r w:rsidRPr="007846A5">
        <w:rPr>
          <w:rFonts w:asciiTheme="minorHAnsi" w:hAnsiTheme="minorHAnsi" w:cstheme="minorHAnsi"/>
          <w:lang w:val="pt-PT" w:eastAsia="pt-PT" w:bidi="pt-PT"/>
        </w:rPr>
        <w:drawing>
          <wp:inline distT="0" distB="0" distL="0" distR="0" wp14:anchorId="140E451C" wp14:editId="7A0D4909">
            <wp:extent cx="6640360" cy="3219450"/>
            <wp:effectExtent l="0" t="0" r="825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3201" cy="323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A5" w:rsidRDefault="007846A5" w:rsidP="00D87FB5">
      <w:pPr>
        <w:ind w:hanging="851"/>
        <w:jc w:val="both"/>
        <w:rPr>
          <w:rFonts w:asciiTheme="minorHAnsi" w:hAnsiTheme="minorHAnsi" w:cstheme="minorHAnsi"/>
          <w:lang w:val="pt-PT" w:eastAsia="pt-PT" w:bidi="pt-PT"/>
        </w:rPr>
      </w:pPr>
    </w:p>
    <w:p w:rsidR="007846A5" w:rsidRPr="00E81A0C" w:rsidRDefault="007846A5" w:rsidP="00D87FB5">
      <w:pPr>
        <w:ind w:hanging="851"/>
        <w:jc w:val="both"/>
        <w:rPr>
          <w:rFonts w:asciiTheme="minorHAnsi" w:hAnsiTheme="minorHAnsi" w:cstheme="minorHAnsi"/>
          <w:lang w:val="pt-PT" w:eastAsia="pt-PT" w:bidi="pt-PT"/>
        </w:rPr>
      </w:pPr>
      <w:r w:rsidRPr="007846A5">
        <w:rPr>
          <w:rFonts w:asciiTheme="minorHAnsi" w:hAnsiTheme="minorHAnsi" w:cstheme="minorHAnsi"/>
          <w:lang w:val="pt-PT" w:eastAsia="pt-PT" w:bidi="pt-PT"/>
        </w:rPr>
        <w:drawing>
          <wp:inline distT="0" distB="0" distL="0" distR="0" wp14:anchorId="4F72E74D" wp14:editId="37C43B1A">
            <wp:extent cx="6819900" cy="1129165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50308" cy="115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FB5" w:rsidRPr="00E81A0C" w:rsidRDefault="00D87FB5" w:rsidP="00D87FB5">
      <w:pPr>
        <w:ind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ind w:hanging="851"/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lang w:val="pt-PT" w:eastAsia="pt-PT" w:bidi="pt-PT"/>
        </w:rPr>
        <w:br w:type="page"/>
      </w:r>
    </w:p>
    <w:p w:rsidR="00D87FB5" w:rsidRPr="00E81A0C" w:rsidRDefault="00D87FB5" w:rsidP="00D87FB5">
      <w:pPr>
        <w:pStyle w:val="Ttulo1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  <w:lang w:val="pt-PT" w:eastAsia="pt-PT" w:bidi="pt-PT"/>
        </w:rPr>
      </w:pPr>
      <w:bookmarkStart w:id="6" w:name="_Toc164157284"/>
      <w:r w:rsidRPr="00E81A0C">
        <w:rPr>
          <w:rFonts w:asciiTheme="minorHAnsi" w:hAnsiTheme="minorHAnsi" w:cstheme="minorHAnsi"/>
          <w:sz w:val="24"/>
          <w:szCs w:val="24"/>
          <w:lang w:val="pt-PT" w:eastAsia="pt-PT" w:bidi="pt-PT"/>
        </w:rPr>
        <w:lastRenderedPageBreak/>
        <w:t>DÍVIDA CONSOLIDADA LÍQUIDA</w:t>
      </w:r>
      <w:bookmarkEnd w:id="6"/>
    </w:p>
    <w:p w:rsidR="00D87FB5" w:rsidRPr="00E81A0C" w:rsidRDefault="00D87FB5" w:rsidP="00D87FB5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Default="00D87FB5" w:rsidP="00D87FB5">
      <w:pPr>
        <w:spacing w:line="276" w:lineRule="auto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lang w:val="pt-PT" w:eastAsia="pt-PT" w:bidi="pt-PT"/>
        </w:rPr>
        <w:t xml:space="preserve">Em </w:t>
      </w:r>
      <w:r w:rsidR="00AE1E84">
        <w:rPr>
          <w:rFonts w:asciiTheme="minorHAnsi" w:hAnsiTheme="minorHAnsi" w:cstheme="minorHAnsi"/>
          <w:lang w:val="pt-PT" w:eastAsia="pt-PT" w:bidi="pt-PT"/>
        </w:rPr>
        <w:t>31/12/2023</w:t>
      </w:r>
      <w:r w:rsidRPr="00E81A0C">
        <w:rPr>
          <w:rFonts w:asciiTheme="minorHAnsi" w:hAnsiTheme="minorHAnsi" w:cstheme="minorHAnsi"/>
          <w:lang w:val="pt-PT" w:eastAsia="pt-PT" w:bidi="pt-PT"/>
        </w:rPr>
        <w:t>, data-base da verificação, foi observado que o Município de Mandaguaçu atende</w:t>
      </w:r>
      <w:r>
        <w:rPr>
          <w:rFonts w:asciiTheme="minorHAnsi" w:hAnsiTheme="minorHAnsi" w:cstheme="minorHAnsi"/>
          <w:lang w:val="pt-PT" w:eastAsia="pt-PT" w:bidi="pt-PT"/>
        </w:rPr>
        <w:t>u</w:t>
      </w:r>
      <w:r w:rsidRPr="00E81A0C">
        <w:rPr>
          <w:rFonts w:asciiTheme="minorHAnsi" w:hAnsiTheme="minorHAnsi" w:cstheme="minorHAnsi"/>
          <w:lang w:val="pt-PT" w:eastAsia="pt-PT" w:bidi="pt-PT"/>
        </w:rPr>
        <w:t xml:space="preserve"> ao limite máximo para a Dívida Consolidada Líquida estabelecido pelo art. 3º, II, e art. 4º, IV, da RSF 40/01.</w:t>
      </w:r>
    </w:p>
    <w:p w:rsidR="00D87FB5" w:rsidRPr="00E81A0C" w:rsidRDefault="00D87FB5" w:rsidP="00D87FB5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Pr="00E81A0C" w:rsidRDefault="00AE1E84" w:rsidP="00D87FB5">
      <w:pPr>
        <w:jc w:val="both"/>
        <w:rPr>
          <w:rFonts w:asciiTheme="minorHAnsi" w:hAnsiTheme="minorHAnsi" w:cstheme="minorHAnsi"/>
          <w:lang w:val="pt-PT" w:eastAsia="pt-PT" w:bidi="pt-PT"/>
        </w:rPr>
      </w:pPr>
      <w:r w:rsidRPr="00AE1E84">
        <w:rPr>
          <w:rFonts w:asciiTheme="minorHAnsi" w:hAnsiTheme="minorHAnsi" w:cstheme="minorHAnsi"/>
          <w:lang w:val="pt-PT" w:eastAsia="pt-PT" w:bidi="pt-PT"/>
        </w:rPr>
        <w:drawing>
          <wp:inline distT="0" distB="0" distL="0" distR="0" wp14:anchorId="724DCE32" wp14:editId="5D5C581B">
            <wp:extent cx="5794965" cy="22479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2680" cy="225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FB5" w:rsidRPr="00E81A0C" w:rsidRDefault="00D87FB5" w:rsidP="00D87FB5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lang w:val="pt-PT" w:eastAsia="pt-PT" w:bidi="pt-PT"/>
        </w:rPr>
        <w:br w:type="page"/>
      </w:r>
    </w:p>
    <w:p w:rsidR="00D87FB5" w:rsidRPr="00E81A0C" w:rsidRDefault="00D87FB5" w:rsidP="00D87FB5">
      <w:pPr>
        <w:pStyle w:val="Ttulo1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  <w:lang w:val="pt-PT" w:eastAsia="pt-PT" w:bidi="pt-PT"/>
        </w:rPr>
      </w:pPr>
      <w:bookmarkStart w:id="7" w:name="_Toc164157285"/>
      <w:r w:rsidRPr="00E81A0C">
        <w:rPr>
          <w:rFonts w:asciiTheme="minorHAnsi" w:hAnsiTheme="minorHAnsi" w:cstheme="minorHAnsi"/>
          <w:sz w:val="24"/>
          <w:szCs w:val="24"/>
          <w:lang w:val="pt-PT" w:eastAsia="pt-PT" w:bidi="pt-PT"/>
        </w:rPr>
        <w:lastRenderedPageBreak/>
        <w:t>OPERAÇÕES DE CRÉDITO</w:t>
      </w:r>
      <w:bookmarkEnd w:id="7"/>
    </w:p>
    <w:p w:rsidR="00D87FB5" w:rsidRPr="00E81A0C" w:rsidRDefault="00D87FB5" w:rsidP="00D87FB5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hAnsiTheme="minorHAnsi" w:cstheme="minorHAnsi"/>
          <w:b/>
          <w:lang w:val="pt-PT" w:eastAsia="pt-PT" w:bidi="pt-PT"/>
        </w:rPr>
      </w:pPr>
      <w:r w:rsidRPr="00E81A0C">
        <w:rPr>
          <w:rFonts w:asciiTheme="minorHAnsi" w:hAnsiTheme="minorHAnsi" w:cstheme="minorHAnsi"/>
          <w:b/>
          <w:lang w:val="pt-PT" w:eastAsia="pt-PT" w:bidi="pt-PT"/>
        </w:rPr>
        <w:t>Limite das Operações de Crédito – Financiamentos</w:t>
      </w:r>
    </w:p>
    <w:p w:rsidR="00D87FB5" w:rsidRDefault="00D87FB5" w:rsidP="00D87FB5">
      <w:pPr>
        <w:spacing w:line="276" w:lineRule="auto"/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line="276" w:lineRule="auto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lang w:val="pt-PT" w:eastAsia="pt-PT" w:bidi="pt-PT"/>
        </w:rPr>
        <w:t>Conforme pode ser verificado, o montante das Operações de Crédito contraídas no</w:t>
      </w:r>
      <w:r>
        <w:rPr>
          <w:rFonts w:asciiTheme="minorHAnsi" w:hAnsiTheme="minorHAnsi" w:cstheme="minorHAnsi"/>
          <w:lang w:val="pt-PT" w:eastAsia="pt-PT" w:bidi="pt-PT"/>
        </w:rPr>
        <w:t xml:space="preserve"> </w:t>
      </w:r>
      <w:r w:rsidRPr="00E81A0C">
        <w:rPr>
          <w:rFonts w:asciiTheme="minorHAnsi" w:hAnsiTheme="minorHAnsi" w:cstheme="minorHAnsi"/>
          <w:lang w:val="pt-PT" w:eastAsia="pt-PT" w:bidi="pt-PT"/>
        </w:rPr>
        <w:t xml:space="preserve">exercício, até a data base da análise, restringiu-se </w:t>
      </w:r>
      <w:r>
        <w:rPr>
          <w:rFonts w:asciiTheme="minorHAnsi" w:hAnsiTheme="minorHAnsi" w:cstheme="minorHAnsi"/>
          <w:lang w:val="pt-PT" w:eastAsia="pt-PT" w:bidi="pt-PT"/>
        </w:rPr>
        <w:t xml:space="preserve">ao limite máximo de 16% sobre a </w:t>
      </w:r>
      <w:r w:rsidRPr="00E81A0C">
        <w:rPr>
          <w:rFonts w:asciiTheme="minorHAnsi" w:hAnsiTheme="minorHAnsi" w:cstheme="minorHAnsi"/>
          <w:lang w:val="pt-PT" w:eastAsia="pt-PT" w:bidi="pt-PT"/>
        </w:rPr>
        <w:t>Receita Corrente Líquida estabelecido na Resolução nº 43/01 do Senado Federal.</w:t>
      </w:r>
    </w:p>
    <w:p w:rsidR="00D87FB5" w:rsidRPr="00E81A0C" w:rsidRDefault="00D87FB5" w:rsidP="00D87FB5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Pr="00E81A0C" w:rsidRDefault="00AE1E84" w:rsidP="00D87FB5">
      <w:pPr>
        <w:jc w:val="both"/>
        <w:rPr>
          <w:rFonts w:asciiTheme="minorHAnsi" w:hAnsiTheme="minorHAnsi" w:cstheme="minorHAnsi"/>
          <w:lang w:val="pt-PT" w:eastAsia="pt-PT" w:bidi="pt-PT"/>
        </w:rPr>
      </w:pPr>
      <w:r w:rsidRPr="00AE1E84">
        <w:rPr>
          <w:rFonts w:asciiTheme="minorHAnsi" w:hAnsiTheme="minorHAnsi" w:cstheme="minorHAnsi"/>
          <w:lang w:val="pt-PT" w:eastAsia="pt-PT" w:bidi="pt-PT"/>
        </w:rPr>
        <w:drawing>
          <wp:inline distT="0" distB="0" distL="0" distR="0" wp14:anchorId="470C43EB" wp14:editId="630FDCBF">
            <wp:extent cx="5510405" cy="80962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26054" cy="81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FB5" w:rsidRPr="00E81A0C" w:rsidRDefault="00D87FB5" w:rsidP="00D87FB5">
      <w:pPr>
        <w:jc w:val="both"/>
        <w:rPr>
          <w:rFonts w:asciiTheme="minorHAnsi" w:hAnsiTheme="minorHAnsi" w:cstheme="minorHAnsi"/>
          <w:b/>
          <w:lang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hAnsiTheme="minorHAnsi" w:cstheme="minorHAnsi"/>
          <w:b/>
          <w:lang w:eastAsia="pt-PT" w:bidi="pt-PT"/>
        </w:rPr>
      </w:pPr>
      <w:r w:rsidRPr="00E81A0C">
        <w:rPr>
          <w:rFonts w:asciiTheme="minorHAnsi" w:hAnsiTheme="minorHAnsi" w:cstheme="minorHAnsi"/>
          <w:b/>
          <w:lang w:eastAsia="pt-PT" w:bidi="pt-PT"/>
        </w:rPr>
        <w:t>Limite das Operações de Crédito por Antecipação das Receitas - ARO's</w:t>
      </w:r>
    </w:p>
    <w:p w:rsidR="00D87FB5" w:rsidRPr="00E81A0C" w:rsidRDefault="00D87FB5" w:rsidP="00D87FB5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line="276" w:lineRule="auto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lang w:val="pt-PT" w:eastAsia="pt-PT" w:bidi="pt-PT"/>
        </w:rPr>
        <w:t>Conforme pode ser verificado, o saldo devedor das Operações de Crédito por Antecipação da Receita – ARO’s, até a data base da análise, restringe-se ao limite máximo de 7% sobre a Receita Corrente Líquida estabelecido na Resolução nº 43/01 do Senado Federal.</w:t>
      </w: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AE1E84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AE1E84">
        <w:rPr>
          <w:rFonts w:asciiTheme="minorHAnsi" w:eastAsia="Arial" w:hAnsiTheme="minorHAnsi" w:cstheme="minorHAnsi"/>
          <w:lang w:val="pt-PT" w:eastAsia="pt-PT" w:bidi="pt-PT"/>
        </w:rPr>
        <w:drawing>
          <wp:inline distT="0" distB="0" distL="0" distR="0" wp14:anchorId="715FF145" wp14:editId="0F6157FA">
            <wp:extent cx="5464330" cy="828675"/>
            <wp:effectExtent l="0" t="0" r="317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69597" cy="82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Default="00D87FB5" w:rsidP="00D87FB5"/>
    <w:p w:rsidR="003A5C7C" w:rsidRDefault="003A5C7C">
      <w:bookmarkStart w:id="8" w:name="_GoBack"/>
      <w:bookmarkEnd w:id="8"/>
    </w:p>
    <w:sectPr w:rsidR="003A5C7C" w:rsidSect="00216B21">
      <w:headerReference w:type="default" r:id="rId25"/>
      <w:footerReference w:type="default" r:id="rId26"/>
      <w:pgSz w:w="11906" w:h="16838"/>
      <w:pgMar w:top="1417" w:right="1701" w:bottom="1417" w:left="1701" w:header="709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143" w:rsidRPr="00216B21" w:rsidRDefault="001B1834" w:rsidP="00FD5143">
    <w:pPr>
      <w:pStyle w:val="Cabealho"/>
      <w:jc w:val="center"/>
      <w:rPr>
        <w:rFonts w:ascii="Times New Roman" w:hAnsi="Times New Roman" w:cs="Times New Roman"/>
        <w:sz w:val="16"/>
        <w:szCs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98D" w:rsidRPr="00216B21" w:rsidRDefault="001B1834" w:rsidP="0025098D">
    <w:pPr>
      <w:pStyle w:val="Cabealho"/>
      <w:jc w:val="center"/>
      <w:rPr>
        <w:rFonts w:ascii="Times New Roman" w:hAnsi="Times New Roman" w:cs="Times New Roman"/>
        <w:sz w:val="40"/>
        <w:szCs w:val="40"/>
      </w:rPr>
    </w:pPr>
    <w:r w:rsidRPr="00216B21">
      <w:rPr>
        <w:rFonts w:ascii="Times New Roman" w:hAnsi="Times New Roman" w:cs="Times New Roman"/>
        <w:b/>
        <w:noProof/>
        <w:sz w:val="40"/>
        <w:szCs w:val="40"/>
        <w:lang w:eastAsia="pt-BR"/>
      </w:rPr>
      <w:drawing>
        <wp:anchor distT="0" distB="0" distL="114300" distR="114300" simplePos="0" relativeHeight="251659264" behindDoc="0" locked="0" layoutInCell="1" allowOverlap="1" wp14:anchorId="2047F353" wp14:editId="034E6C6E">
          <wp:simplePos x="0" y="0"/>
          <wp:positionH relativeFrom="column">
            <wp:posOffset>-708660</wp:posOffset>
          </wp:positionH>
          <wp:positionV relativeFrom="paragraph">
            <wp:posOffset>6985</wp:posOffset>
          </wp:positionV>
          <wp:extent cx="1302385" cy="1057275"/>
          <wp:effectExtent l="0" t="0" r="0" b="9525"/>
          <wp:wrapSquare wrapText="bothSides"/>
          <wp:docPr id="51" name="Imagem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SÃ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38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6B21">
      <w:rPr>
        <w:rFonts w:ascii="Times New Roman" w:hAnsi="Times New Roman" w:cs="Times New Roman"/>
        <w:b/>
        <w:sz w:val="40"/>
        <w:szCs w:val="40"/>
      </w:rPr>
      <w:t>Prefeitura do Município de Mandaguaçu</w:t>
    </w:r>
  </w:p>
  <w:p w:rsidR="0025098D" w:rsidRPr="00216B21" w:rsidRDefault="001B1834" w:rsidP="0025098D">
    <w:pPr>
      <w:pStyle w:val="Cabealho"/>
      <w:jc w:val="center"/>
      <w:rPr>
        <w:rFonts w:ascii="Times New Roman" w:hAnsi="Times New Roman" w:cs="Times New Roman"/>
        <w:sz w:val="24"/>
      </w:rPr>
    </w:pPr>
    <w:r w:rsidRPr="00216B21">
      <w:rPr>
        <w:rFonts w:ascii="Times New Roman" w:hAnsi="Times New Roman" w:cs="Times New Roman"/>
        <w:b/>
      </w:rPr>
      <w:t>ESTADO DO PARANÁ</w:t>
    </w:r>
  </w:p>
  <w:p w:rsidR="0025098D" w:rsidRPr="00216B21" w:rsidRDefault="001B1834" w:rsidP="0025098D">
    <w:pPr>
      <w:pStyle w:val="Cabealho"/>
      <w:jc w:val="center"/>
      <w:rPr>
        <w:rFonts w:ascii="Times New Roman" w:hAnsi="Times New Roman" w:cs="Times New Roman"/>
        <w:sz w:val="20"/>
      </w:rPr>
    </w:pPr>
    <w:r w:rsidRPr="00216B21">
      <w:rPr>
        <w:rFonts w:ascii="Times New Roman" w:hAnsi="Times New Roman" w:cs="Times New Roman"/>
        <w:b/>
        <w:sz w:val="20"/>
      </w:rPr>
      <w:t>Paço Municipal "Hiro Vieira"</w:t>
    </w:r>
  </w:p>
  <w:p w:rsidR="0025098D" w:rsidRPr="00216B21" w:rsidRDefault="001B1834" w:rsidP="0025098D">
    <w:pPr>
      <w:pStyle w:val="Cabealho"/>
      <w:jc w:val="center"/>
      <w:rPr>
        <w:rFonts w:ascii="Times New Roman" w:hAnsi="Times New Roman" w:cs="Times New Roman"/>
        <w:sz w:val="16"/>
        <w:szCs w:val="16"/>
      </w:rPr>
    </w:pPr>
    <w:bookmarkStart w:id="9" w:name="_Hlk25587856"/>
    <w:r w:rsidRPr="00216B21">
      <w:rPr>
        <w:rFonts w:ascii="Times New Roman" w:hAnsi="Times New Roman" w:cs="Times New Roman"/>
        <w:sz w:val="16"/>
        <w:szCs w:val="16"/>
      </w:rPr>
      <w:t>Rua Bernardino Bogo, 175 –</w:t>
    </w:r>
    <w:r>
      <w:rPr>
        <w:rFonts w:ascii="Times New Roman" w:hAnsi="Times New Roman" w:cs="Times New Roman"/>
        <w:sz w:val="16"/>
        <w:szCs w:val="16"/>
      </w:rPr>
      <w:t xml:space="preserve"> Vila Bernadino Bogo</w:t>
    </w:r>
    <w:r>
      <w:rPr>
        <w:rFonts w:ascii="Times New Roman" w:hAnsi="Times New Roman" w:cs="Times New Roman"/>
        <w:sz w:val="16"/>
        <w:szCs w:val="16"/>
      </w:rPr>
      <w:t xml:space="preserve"> – Caixa Postal 81 – CEP 87160-000</w:t>
    </w:r>
    <w:bookmarkEnd w:id="9"/>
    <w:r>
      <w:rPr>
        <w:rFonts w:ascii="Times New Roman" w:hAnsi="Times New Roman" w:cs="Times New Roman"/>
        <w:sz w:val="16"/>
        <w:szCs w:val="16"/>
      </w:rPr>
      <w:br/>
      <w:t xml:space="preserve"> </w:t>
    </w:r>
    <w:r w:rsidRPr="00216B21">
      <w:rPr>
        <w:rFonts w:ascii="Times New Roman" w:hAnsi="Times New Roman" w:cs="Times New Roman"/>
        <w:sz w:val="16"/>
        <w:szCs w:val="16"/>
      </w:rPr>
      <w:t>Fone: (44) 3245-8400</w:t>
    </w:r>
  </w:p>
  <w:p w:rsidR="0025098D" w:rsidRPr="00216B21" w:rsidRDefault="001B1834" w:rsidP="0025098D">
    <w:pPr>
      <w:pStyle w:val="Cabealho"/>
      <w:jc w:val="center"/>
      <w:rPr>
        <w:rFonts w:ascii="Times New Roman" w:hAnsi="Times New Roman" w:cs="Times New Roman"/>
        <w:sz w:val="16"/>
        <w:szCs w:val="16"/>
      </w:rPr>
    </w:pPr>
    <w:r w:rsidRPr="00216B21">
      <w:rPr>
        <w:rFonts w:ascii="Times New Roman" w:hAnsi="Times New Roman" w:cs="Times New Roman"/>
        <w:sz w:val="16"/>
        <w:szCs w:val="16"/>
      </w:rPr>
      <w:t>CNPJ 76.285.329/0001-08</w:t>
    </w:r>
  </w:p>
  <w:p w:rsidR="0025098D" w:rsidRPr="00216B21" w:rsidRDefault="001B1834" w:rsidP="0025098D">
    <w:pPr>
      <w:pStyle w:val="Cabealho"/>
      <w:jc w:val="center"/>
      <w:rPr>
        <w:rFonts w:ascii="Times New Roman" w:hAnsi="Times New Roman" w:cs="Times New Roman"/>
        <w:sz w:val="16"/>
        <w:szCs w:val="16"/>
      </w:rPr>
    </w:pPr>
    <w:bookmarkStart w:id="10" w:name="_Hlk25588133"/>
    <w:r w:rsidRPr="00216B21">
      <w:rPr>
        <w:rFonts w:ascii="Times New Roman" w:hAnsi="Times New Roman" w:cs="Times New Roman"/>
        <w:sz w:val="16"/>
        <w:szCs w:val="16"/>
      </w:rPr>
      <w:t>www.mandaguacu.pr.gov.br</w:t>
    </w:r>
    <w:bookmarkEnd w:id="10"/>
  </w:p>
  <w:p w:rsidR="0025098D" w:rsidRDefault="001B183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1A7D98"/>
    <w:multiLevelType w:val="hybridMultilevel"/>
    <w:tmpl w:val="24BCB486"/>
    <w:lvl w:ilvl="0" w:tplc="1624B9A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FB5"/>
    <w:rsid w:val="001B1834"/>
    <w:rsid w:val="003A5C7C"/>
    <w:rsid w:val="007323D3"/>
    <w:rsid w:val="007846A5"/>
    <w:rsid w:val="00AE1E84"/>
    <w:rsid w:val="00D8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D84572-51A9-41DB-8299-0A6612E7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7F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87FB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85623" w:themeColor="accent6" w:themeShade="80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87FB5"/>
    <w:rPr>
      <w:rFonts w:asciiTheme="majorHAnsi" w:eastAsiaTheme="majorEastAsia" w:hAnsiTheme="majorHAnsi" w:cstheme="majorBidi"/>
      <w:color w:val="385623" w:themeColor="accent6" w:themeShade="80"/>
      <w:sz w:val="32"/>
      <w:szCs w:val="32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D87FB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7FB5"/>
  </w:style>
  <w:style w:type="paragraph" w:styleId="CabealhodoSumrio">
    <w:name w:val="TOC Heading"/>
    <w:basedOn w:val="Ttulo1"/>
    <w:next w:val="Normal"/>
    <w:uiPriority w:val="39"/>
    <w:unhideWhenUsed/>
    <w:qFormat/>
    <w:rsid w:val="00D87FB5"/>
    <w:pPr>
      <w:spacing w:line="259" w:lineRule="auto"/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D87FB5"/>
    <w:pPr>
      <w:spacing w:after="100"/>
    </w:pPr>
  </w:style>
  <w:style w:type="character" w:styleId="Hyperlink">
    <w:name w:val="Hyperlink"/>
    <w:basedOn w:val="Fontepargpadro"/>
    <w:uiPriority w:val="99"/>
    <w:unhideWhenUsed/>
    <w:rsid w:val="00D87F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4.png"/><Relationship Id="rId18" Type="http://schemas.microsoft.com/office/2007/relationships/diagramDrawing" Target="diagrams/drawing2.xm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diagramData" Target="diagrams/data1.xml"/><Relationship Id="rId12" Type="http://schemas.openxmlformats.org/officeDocument/2006/relationships/image" Target="media/image3.png"/><Relationship Id="rId17" Type="http://schemas.openxmlformats.org/officeDocument/2006/relationships/diagramColors" Target="diagrams/colors2.xm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diagramDrawing" Target="diagrams/drawing1.xml"/><Relationship Id="rId24" Type="http://schemas.openxmlformats.org/officeDocument/2006/relationships/image" Target="media/image10.png"/><Relationship Id="rId5" Type="http://schemas.openxmlformats.org/officeDocument/2006/relationships/image" Target="media/image1.png"/><Relationship Id="rId15" Type="http://schemas.openxmlformats.org/officeDocument/2006/relationships/diagramLayout" Target="diagrams/layout2.xml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diagramColors" Target="diagrams/colors1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Data" Target="diagrams/data2.xm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11DD21D-C437-45C2-98EB-F604D9EC8AB6}" type="doc">
      <dgm:prSet loTypeId="urn:microsoft.com/office/officeart/2008/layout/PictureAccentLis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18E48473-F5B5-4FD1-8737-386925F5844E}">
      <dgm:prSet phldrT="[Texto]"/>
      <dgm:spPr/>
      <dgm:t>
        <a:bodyPr/>
        <a:lstStyle/>
        <a:p>
          <a:pPr algn="ctr"/>
          <a:r>
            <a:rPr lang="pt-BR"/>
            <a:t>Índice aplicado</a:t>
          </a:r>
        </a:p>
      </dgm:t>
    </dgm:pt>
    <dgm:pt modelId="{EC21C3D3-116C-4E03-8E4A-FCA11939D0D3}" type="parTrans" cxnId="{3CC33008-7324-4642-BB67-407B8CF811B5}">
      <dgm:prSet/>
      <dgm:spPr/>
      <dgm:t>
        <a:bodyPr/>
        <a:lstStyle/>
        <a:p>
          <a:pPr algn="ctr"/>
          <a:endParaRPr lang="pt-BR"/>
        </a:p>
      </dgm:t>
    </dgm:pt>
    <dgm:pt modelId="{AEB8F436-E2D5-4186-8838-5962C17D35BB}" type="sibTrans" cxnId="{3CC33008-7324-4642-BB67-407B8CF811B5}">
      <dgm:prSet/>
      <dgm:spPr/>
      <dgm:t>
        <a:bodyPr/>
        <a:lstStyle/>
        <a:p>
          <a:pPr algn="ctr"/>
          <a:endParaRPr lang="pt-BR"/>
        </a:p>
      </dgm:t>
    </dgm:pt>
    <dgm:pt modelId="{030789D6-32C9-4E87-A35F-C31098AC1260}">
      <dgm:prSet phldrT="[Texto]"/>
      <dgm:spPr/>
      <dgm:t>
        <a:bodyPr/>
        <a:lstStyle/>
        <a:p>
          <a:pPr algn="ctr"/>
          <a:r>
            <a:rPr lang="pt-BR"/>
            <a:t>Exercício 2023: 31,05%</a:t>
          </a:r>
        </a:p>
      </dgm:t>
    </dgm:pt>
    <dgm:pt modelId="{97030DF1-0BAB-4E6A-9843-8F492E45E99E}" type="parTrans" cxnId="{A70A21AB-F134-4879-B048-58697994F45D}">
      <dgm:prSet/>
      <dgm:spPr/>
      <dgm:t>
        <a:bodyPr/>
        <a:lstStyle/>
        <a:p>
          <a:pPr algn="ctr"/>
          <a:endParaRPr lang="pt-BR"/>
        </a:p>
      </dgm:t>
    </dgm:pt>
    <dgm:pt modelId="{54CA6A62-11BF-4B52-A592-EFDD84C40D64}" type="sibTrans" cxnId="{A70A21AB-F134-4879-B048-58697994F45D}">
      <dgm:prSet/>
      <dgm:spPr/>
      <dgm:t>
        <a:bodyPr/>
        <a:lstStyle/>
        <a:p>
          <a:pPr algn="ctr"/>
          <a:endParaRPr lang="pt-BR"/>
        </a:p>
      </dgm:t>
    </dgm:pt>
    <dgm:pt modelId="{BF4CF716-39B6-49FD-BB80-E49C383D0DCC}">
      <dgm:prSet phldrT="[Texto]"/>
      <dgm:spPr/>
      <dgm:t>
        <a:bodyPr/>
        <a:lstStyle/>
        <a:p>
          <a:pPr algn="ctr"/>
          <a:r>
            <a:rPr lang="pt-BR"/>
            <a:t>Exercício 2022: 25,58%</a:t>
          </a:r>
        </a:p>
      </dgm:t>
    </dgm:pt>
    <dgm:pt modelId="{B0E3AC39-5273-488F-B709-6E2920A920FC}" type="sibTrans" cxnId="{E358887C-BF2D-4A48-82BA-63A6BAE215C4}">
      <dgm:prSet/>
      <dgm:spPr/>
      <dgm:t>
        <a:bodyPr/>
        <a:lstStyle/>
        <a:p>
          <a:pPr algn="ctr"/>
          <a:endParaRPr lang="pt-BR"/>
        </a:p>
      </dgm:t>
    </dgm:pt>
    <dgm:pt modelId="{A56BF02D-4B78-4B69-8862-166A33C23D72}" type="parTrans" cxnId="{E358887C-BF2D-4A48-82BA-63A6BAE215C4}">
      <dgm:prSet/>
      <dgm:spPr/>
      <dgm:t>
        <a:bodyPr/>
        <a:lstStyle/>
        <a:p>
          <a:pPr algn="ctr"/>
          <a:endParaRPr lang="pt-BR"/>
        </a:p>
      </dgm:t>
    </dgm:pt>
    <dgm:pt modelId="{031BDADD-C0AD-41BD-9015-D05469989240}" type="pres">
      <dgm:prSet presAssocID="{411DD21D-C437-45C2-98EB-F604D9EC8AB6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</dgm:pt>
    <dgm:pt modelId="{EF7AC088-6DA3-42C8-8F4B-90921376B8C4}" type="pres">
      <dgm:prSet presAssocID="{18E48473-F5B5-4FD1-8737-386925F5844E}" presName="root" presStyleCnt="0">
        <dgm:presLayoutVars>
          <dgm:chMax/>
          <dgm:chPref val="4"/>
        </dgm:presLayoutVars>
      </dgm:prSet>
      <dgm:spPr/>
    </dgm:pt>
    <dgm:pt modelId="{E9DAB2F2-98ED-4C7E-8548-F39ECEAC76DF}" type="pres">
      <dgm:prSet presAssocID="{18E48473-F5B5-4FD1-8737-386925F5844E}" presName="rootComposite" presStyleCnt="0">
        <dgm:presLayoutVars/>
      </dgm:prSet>
      <dgm:spPr/>
    </dgm:pt>
    <dgm:pt modelId="{D5EAE29F-46C6-41AB-BEE4-BE66F21FEB26}" type="pres">
      <dgm:prSet presAssocID="{18E48473-F5B5-4FD1-8737-386925F5844E}" presName="rootText" presStyleLbl="node0" presStyleIdx="0" presStyleCnt="1" custLinFactNeighborX="-605" custLinFactNeighborY="2764">
        <dgm:presLayoutVars>
          <dgm:chMax/>
          <dgm:chPref val="4"/>
        </dgm:presLayoutVars>
      </dgm:prSet>
      <dgm:spPr/>
      <dgm:t>
        <a:bodyPr/>
        <a:lstStyle/>
        <a:p>
          <a:endParaRPr lang="pt-BR"/>
        </a:p>
      </dgm:t>
    </dgm:pt>
    <dgm:pt modelId="{57504668-DD0F-4617-ADC0-77316CFBD9C3}" type="pres">
      <dgm:prSet presAssocID="{18E48473-F5B5-4FD1-8737-386925F5844E}" presName="childShape" presStyleCnt="0">
        <dgm:presLayoutVars>
          <dgm:chMax val="0"/>
          <dgm:chPref val="0"/>
        </dgm:presLayoutVars>
      </dgm:prSet>
      <dgm:spPr/>
    </dgm:pt>
    <dgm:pt modelId="{329E627F-5013-485F-8C4A-F5C46AD71B57}" type="pres">
      <dgm:prSet presAssocID="{BF4CF716-39B6-49FD-BB80-E49C383D0DCC}" presName="childComposite" presStyleCnt="0">
        <dgm:presLayoutVars>
          <dgm:chMax val="0"/>
          <dgm:chPref val="0"/>
        </dgm:presLayoutVars>
      </dgm:prSet>
      <dgm:spPr/>
    </dgm:pt>
    <dgm:pt modelId="{1E10AD33-217E-4F8E-A7EF-8A12AE88B2ED}" type="pres">
      <dgm:prSet presAssocID="{BF4CF716-39B6-49FD-BB80-E49C383D0DCC}" presName="Image" presStyleLbl="node1" presStyleIdx="0" presStyleCnt="2" custFlipVert="1" custScaleX="6244" custScaleY="15578" custLinFactX="-13341" custLinFactY="200000" custLinFactNeighborX="-100000" custLinFactNeighborY="268569"/>
      <dgm:spPr/>
    </dgm:pt>
    <dgm:pt modelId="{E12EF70E-1CD3-45D6-B8F2-282FEE444E28}" type="pres">
      <dgm:prSet presAssocID="{BF4CF716-39B6-49FD-BB80-E49C383D0DCC}" presName="childText" presStyleLbl="lnNode1" presStyleIdx="0" presStyleCnt="2" custLinFactNeighborX="-13592" custLinFactNeighborY="-276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8E638AC9-38C3-465D-B0E5-C7468CC903DE}" type="pres">
      <dgm:prSet presAssocID="{030789D6-32C9-4E87-A35F-C31098AC1260}" presName="childComposite" presStyleCnt="0">
        <dgm:presLayoutVars>
          <dgm:chMax val="0"/>
          <dgm:chPref val="0"/>
        </dgm:presLayoutVars>
      </dgm:prSet>
      <dgm:spPr/>
    </dgm:pt>
    <dgm:pt modelId="{D9E39032-25BB-4F86-9E46-C40F2AD1EB7F}" type="pres">
      <dgm:prSet presAssocID="{030789D6-32C9-4E87-A35F-C31098AC1260}" presName="Image" presStyleLbl="node1" presStyleIdx="1" presStyleCnt="2" custAng="11446408" custFlipVert="1" custScaleX="203007" custScaleY="39706" custLinFactX="32692" custLinFactNeighborX="100000" custLinFactNeighborY="997"/>
      <dgm:spPr/>
    </dgm:pt>
    <dgm:pt modelId="{1F8CF33F-2B06-49DF-8C10-6104DC394266}" type="pres">
      <dgm:prSet presAssocID="{030789D6-32C9-4E87-A35F-C31098AC1260}" presName="childText" presStyleLbl="lnNode1" presStyleIdx="1" presStyleCnt="2" custLinFactNeighborX="-13115" custLinFactNeighborY="414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A70A21AB-F134-4879-B048-58697994F45D}" srcId="{18E48473-F5B5-4FD1-8737-386925F5844E}" destId="{030789D6-32C9-4E87-A35F-C31098AC1260}" srcOrd="1" destOrd="0" parTransId="{97030DF1-0BAB-4E6A-9843-8F492E45E99E}" sibTransId="{54CA6A62-11BF-4B52-A592-EFDD84C40D64}"/>
    <dgm:cxn modelId="{E358887C-BF2D-4A48-82BA-63A6BAE215C4}" srcId="{18E48473-F5B5-4FD1-8737-386925F5844E}" destId="{BF4CF716-39B6-49FD-BB80-E49C383D0DCC}" srcOrd="0" destOrd="0" parTransId="{A56BF02D-4B78-4B69-8862-166A33C23D72}" sibTransId="{B0E3AC39-5273-488F-B709-6E2920A920FC}"/>
    <dgm:cxn modelId="{D033D9B5-76BB-4A44-84C9-BC38248F5F9C}" type="presOf" srcId="{030789D6-32C9-4E87-A35F-C31098AC1260}" destId="{1F8CF33F-2B06-49DF-8C10-6104DC394266}" srcOrd="0" destOrd="0" presId="urn:microsoft.com/office/officeart/2008/layout/PictureAccentList"/>
    <dgm:cxn modelId="{85008EB5-7AA3-482B-B088-9D72C8B03402}" type="presOf" srcId="{BF4CF716-39B6-49FD-BB80-E49C383D0DCC}" destId="{E12EF70E-1CD3-45D6-B8F2-282FEE444E28}" srcOrd="0" destOrd="0" presId="urn:microsoft.com/office/officeart/2008/layout/PictureAccentList"/>
    <dgm:cxn modelId="{3CC33008-7324-4642-BB67-407B8CF811B5}" srcId="{411DD21D-C437-45C2-98EB-F604D9EC8AB6}" destId="{18E48473-F5B5-4FD1-8737-386925F5844E}" srcOrd="0" destOrd="0" parTransId="{EC21C3D3-116C-4E03-8E4A-FCA11939D0D3}" sibTransId="{AEB8F436-E2D5-4186-8838-5962C17D35BB}"/>
    <dgm:cxn modelId="{09B2A990-3071-4DBD-83D2-0262C4941AF2}" type="presOf" srcId="{18E48473-F5B5-4FD1-8737-386925F5844E}" destId="{D5EAE29F-46C6-41AB-BEE4-BE66F21FEB26}" srcOrd="0" destOrd="0" presId="urn:microsoft.com/office/officeart/2008/layout/PictureAccentList"/>
    <dgm:cxn modelId="{2DEC59A6-9C0F-403E-89F5-D3B014E5D550}" type="presOf" srcId="{411DD21D-C437-45C2-98EB-F604D9EC8AB6}" destId="{031BDADD-C0AD-41BD-9015-D05469989240}" srcOrd="0" destOrd="0" presId="urn:microsoft.com/office/officeart/2008/layout/PictureAccentList"/>
    <dgm:cxn modelId="{1D2C8CB2-ABBF-4B6A-9B74-B292924B0E18}" type="presParOf" srcId="{031BDADD-C0AD-41BD-9015-D05469989240}" destId="{EF7AC088-6DA3-42C8-8F4B-90921376B8C4}" srcOrd="0" destOrd="0" presId="urn:microsoft.com/office/officeart/2008/layout/PictureAccentList"/>
    <dgm:cxn modelId="{C8551E16-6766-4661-8C89-F513AE6DD457}" type="presParOf" srcId="{EF7AC088-6DA3-42C8-8F4B-90921376B8C4}" destId="{E9DAB2F2-98ED-4C7E-8548-F39ECEAC76DF}" srcOrd="0" destOrd="0" presId="urn:microsoft.com/office/officeart/2008/layout/PictureAccentList"/>
    <dgm:cxn modelId="{00DB2DA9-C91F-4FFC-B998-6FCB158A7CB0}" type="presParOf" srcId="{E9DAB2F2-98ED-4C7E-8548-F39ECEAC76DF}" destId="{D5EAE29F-46C6-41AB-BEE4-BE66F21FEB26}" srcOrd="0" destOrd="0" presId="urn:microsoft.com/office/officeart/2008/layout/PictureAccentList"/>
    <dgm:cxn modelId="{D2DB5E50-F7E3-400F-A14F-6485E0B963CB}" type="presParOf" srcId="{EF7AC088-6DA3-42C8-8F4B-90921376B8C4}" destId="{57504668-DD0F-4617-ADC0-77316CFBD9C3}" srcOrd="1" destOrd="0" presId="urn:microsoft.com/office/officeart/2008/layout/PictureAccentList"/>
    <dgm:cxn modelId="{3A2F992D-6269-44CE-BCCB-F999006A75CC}" type="presParOf" srcId="{57504668-DD0F-4617-ADC0-77316CFBD9C3}" destId="{329E627F-5013-485F-8C4A-F5C46AD71B57}" srcOrd="0" destOrd="0" presId="urn:microsoft.com/office/officeart/2008/layout/PictureAccentList"/>
    <dgm:cxn modelId="{2662B669-9320-494B-934B-6E353CB2E80D}" type="presParOf" srcId="{329E627F-5013-485F-8C4A-F5C46AD71B57}" destId="{1E10AD33-217E-4F8E-A7EF-8A12AE88B2ED}" srcOrd="0" destOrd="0" presId="urn:microsoft.com/office/officeart/2008/layout/PictureAccentList"/>
    <dgm:cxn modelId="{68A40F4B-095F-4C11-BADC-D2045E02978D}" type="presParOf" srcId="{329E627F-5013-485F-8C4A-F5C46AD71B57}" destId="{E12EF70E-1CD3-45D6-B8F2-282FEE444E28}" srcOrd="1" destOrd="0" presId="urn:microsoft.com/office/officeart/2008/layout/PictureAccentList"/>
    <dgm:cxn modelId="{E0D0274F-2ABC-4F20-9987-2EFF00171ED3}" type="presParOf" srcId="{57504668-DD0F-4617-ADC0-77316CFBD9C3}" destId="{8E638AC9-38C3-465D-B0E5-C7468CC903DE}" srcOrd="1" destOrd="0" presId="urn:microsoft.com/office/officeart/2008/layout/PictureAccentList"/>
    <dgm:cxn modelId="{F68A7485-D4EE-414C-A55D-D26668908D2D}" type="presParOf" srcId="{8E638AC9-38C3-465D-B0E5-C7468CC903DE}" destId="{D9E39032-25BB-4F86-9E46-C40F2AD1EB7F}" srcOrd="0" destOrd="0" presId="urn:microsoft.com/office/officeart/2008/layout/PictureAccentList"/>
    <dgm:cxn modelId="{4B8641B2-4417-4E15-AD77-6E9A54A385FF}" type="presParOf" srcId="{8E638AC9-38C3-465D-B0E5-C7468CC903DE}" destId="{1F8CF33F-2B06-49DF-8C10-6104DC394266}" srcOrd="1" destOrd="0" presId="urn:microsoft.com/office/officeart/2008/layout/PictureAccentList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11DD21D-C437-45C2-98EB-F604D9EC8AB6}" type="doc">
      <dgm:prSet loTypeId="urn:microsoft.com/office/officeart/2008/layout/PictureAccentLis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18E48473-F5B5-4FD1-8737-386925F5844E}">
      <dgm:prSet phldrT="[Texto]"/>
      <dgm:spPr/>
      <dgm:t>
        <a:bodyPr/>
        <a:lstStyle/>
        <a:p>
          <a:pPr algn="ctr"/>
          <a:r>
            <a:rPr lang="pt-BR"/>
            <a:t>Índice aplicado</a:t>
          </a:r>
        </a:p>
      </dgm:t>
    </dgm:pt>
    <dgm:pt modelId="{EC21C3D3-116C-4E03-8E4A-FCA11939D0D3}" type="parTrans" cxnId="{3CC33008-7324-4642-BB67-407B8CF811B5}">
      <dgm:prSet/>
      <dgm:spPr/>
      <dgm:t>
        <a:bodyPr/>
        <a:lstStyle/>
        <a:p>
          <a:pPr algn="ctr"/>
          <a:endParaRPr lang="pt-BR"/>
        </a:p>
      </dgm:t>
    </dgm:pt>
    <dgm:pt modelId="{AEB8F436-E2D5-4186-8838-5962C17D35BB}" type="sibTrans" cxnId="{3CC33008-7324-4642-BB67-407B8CF811B5}">
      <dgm:prSet/>
      <dgm:spPr/>
      <dgm:t>
        <a:bodyPr/>
        <a:lstStyle/>
        <a:p>
          <a:pPr algn="ctr"/>
          <a:endParaRPr lang="pt-BR"/>
        </a:p>
      </dgm:t>
    </dgm:pt>
    <dgm:pt modelId="{030789D6-32C9-4E87-A35F-C31098AC1260}">
      <dgm:prSet phldrT="[Texto]"/>
      <dgm:spPr/>
      <dgm:t>
        <a:bodyPr/>
        <a:lstStyle/>
        <a:p>
          <a:pPr algn="ctr"/>
          <a:r>
            <a:rPr lang="pt-BR"/>
            <a:t>Exercício 2023: 24,96 %</a:t>
          </a:r>
        </a:p>
      </dgm:t>
    </dgm:pt>
    <dgm:pt modelId="{97030DF1-0BAB-4E6A-9843-8F492E45E99E}" type="parTrans" cxnId="{A70A21AB-F134-4879-B048-58697994F45D}">
      <dgm:prSet/>
      <dgm:spPr/>
      <dgm:t>
        <a:bodyPr/>
        <a:lstStyle/>
        <a:p>
          <a:pPr algn="ctr"/>
          <a:endParaRPr lang="pt-BR"/>
        </a:p>
      </dgm:t>
    </dgm:pt>
    <dgm:pt modelId="{54CA6A62-11BF-4B52-A592-EFDD84C40D64}" type="sibTrans" cxnId="{A70A21AB-F134-4879-B048-58697994F45D}">
      <dgm:prSet/>
      <dgm:spPr/>
      <dgm:t>
        <a:bodyPr/>
        <a:lstStyle/>
        <a:p>
          <a:pPr algn="ctr"/>
          <a:endParaRPr lang="pt-BR"/>
        </a:p>
      </dgm:t>
    </dgm:pt>
    <dgm:pt modelId="{BF4CF716-39B6-49FD-BB80-E49C383D0DCC}">
      <dgm:prSet phldrT="[Texto]"/>
      <dgm:spPr/>
      <dgm:t>
        <a:bodyPr/>
        <a:lstStyle/>
        <a:p>
          <a:pPr algn="ctr"/>
          <a:r>
            <a:rPr lang="pt-BR"/>
            <a:t>Exercício 2022: 25,40%</a:t>
          </a:r>
        </a:p>
      </dgm:t>
    </dgm:pt>
    <dgm:pt modelId="{B0E3AC39-5273-488F-B709-6E2920A920FC}" type="sibTrans" cxnId="{E358887C-BF2D-4A48-82BA-63A6BAE215C4}">
      <dgm:prSet/>
      <dgm:spPr/>
      <dgm:t>
        <a:bodyPr/>
        <a:lstStyle/>
        <a:p>
          <a:pPr algn="ctr"/>
          <a:endParaRPr lang="pt-BR"/>
        </a:p>
      </dgm:t>
    </dgm:pt>
    <dgm:pt modelId="{A56BF02D-4B78-4B69-8862-166A33C23D72}" type="parTrans" cxnId="{E358887C-BF2D-4A48-82BA-63A6BAE215C4}">
      <dgm:prSet/>
      <dgm:spPr/>
      <dgm:t>
        <a:bodyPr/>
        <a:lstStyle/>
        <a:p>
          <a:pPr algn="ctr"/>
          <a:endParaRPr lang="pt-BR"/>
        </a:p>
      </dgm:t>
    </dgm:pt>
    <dgm:pt modelId="{031BDADD-C0AD-41BD-9015-D05469989240}" type="pres">
      <dgm:prSet presAssocID="{411DD21D-C437-45C2-98EB-F604D9EC8AB6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</dgm:pt>
    <dgm:pt modelId="{EF7AC088-6DA3-42C8-8F4B-90921376B8C4}" type="pres">
      <dgm:prSet presAssocID="{18E48473-F5B5-4FD1-8737-386925F5844E}" presName="root" presStyleCnt="0">
        <dgm:presLayoutVars>
          <dgm:chMax/>
          <dgm:chPref val="4"/>
        </dgm:presLayoutVars>
      </dgm:prSet>
      <dgm:spPr/>
    </dgm:pt>
    <dgm:pt modelId="{E9DAB2F2-98ED-4C7E-8548-F39ECEAC76DF}" type="pres">
      <dgm:prSet presAssocID="{18E48473-F5B5-4FD1-8737-386925F5844E}" presName="rootComposite" presStyleCnt="0">
        <dgm:presLayoutVars/>
      </dgm:prSet>
      <dgm:spPr/>
    </dgm:pt>
    <dgm:pt modelId="{D5EAE29F-46C6-41AB-BEE4-BE66F21FEB26}" type="pres">
      <dgm:prSet presAssocID="{18E48473-F5B5-4FD1-8737-386925F5844E}" presName="rootText" presStyleLbl="node0" presStyleIdx="0" presStyleCnt="1" custLinFactNeighborX="-605" custLinFactNeighborY="2764">
        <dgm:presLayoutVars>
          <dgm:chMax/>
          <dgm:chPref val="4"/>
        </dgm:presLayoutVars>
      </dgm:prSet>
      <dgm:spPr/>
      <dgm:t>
        <a:bodyPr/>
        <a:lstStyle/>
        <a:p>
          <a:endParaRPr lang="pt-BR"/>
        </a:p>
      </dgm:t>
    </dgm:pt>
    <dgm:pt modelId="{57504668-DD0F-4617-ADC0-77316CFBD9C3}" type="pres">
      <dgm:prSet presAssocID="{18E48473-F5B5-4FD1-8737-386925F5844E}" presName="childShape" presStyleCnt="0">
        <dgm:presLayoutVars>
          <dgm:chMax val="0"/>
          <dgm:chPref val="0"/>
        </dgm:presLayoutVars>
      </dgm:prSet>
      <dgm:spPr/>
    </dgm:pt>
    <dgm:pt modelId="{329E627F-5013-485F-8C4A-F5C46AD71B57}" type="pres">
      <dgm:prSet presAssocID="{BF4CF716-39B6-49FD-BB80-E49C383D0DCC}" presName="childComposite" presStyleCnt="0">
        <dgm:presLayoutVars>
          <dgm:chMax val="0"/>
          <dgm:chPref val="0"/>
        </dgm:presLayoutVars>
      </dgm:prSet>
      <dgm:spPr/>
    </dgm:pt>
    <dgm:pt modelId="{1E10AD33-217E-4F8E-A7EF-8A12AE88B2ED}" type="pres">
      <dgm:prSet presAssocID="{BF4CF716-39B6-49FD-BB80-E49C383D0DCC}" presName="Image" presStyleLbl="node1" presStyleIdx="0" presStyleCnt="2" custFlipVert="1" custScaleX="6244" custScaleY="15578" custLinFactX="-13341" custLinFactY="200000" custLinFactNeighborX="-100000" custLinFactNeighborY="268569"/>
      <dgm:spPr/>
    </dgm:pt>
    <dgm:pt modelId="{E12EF70E-1CD3-45D6-B8F2-282FEE444E28}" type="pres">
      <dgm:prSet presAssocID="{BF4CF716-39B6-49FD-BB80-E49C383D0DCC}" presName="childText" presStyleLbl="lnNode1" presStyleIdx="0" presStyleCnt="2" custLinFactNeighborX="-13592" custLinFactNeighborY="-276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8E638AC9-38C3-465D-B0E5-C7468CC903DE}" type="pres">
      <dgm:prSet presAssocID="{030789D6-32C9-4E87-A35F-C31098AC1260}" presName="childComposite" presStyleCnt="0">
        <dgm:presLayoutVars>
          <dgm:chMax val="0"/>
          <dgm:chPref val="0"/>
        </dgm:presLayoutVars>
      </dgm:prSet>
      <dgm:spPr/>
    </dgm:pt>
    <dgm:pt modelId="{D9E39032-25BB-4F86-9E46-C40F2AD1EB7F}" type="pres">
      <dgm:prSet presAssocID="{030789D6-32C9-4E87-A35F-C31098AC1260}" presName="Image" presStyleLbl="node1" presStyleIdx="1" presStyleCnt="2" custAng="11446408" custFlipVert="1" custScaleX="203007" custScaleY="39706" custLinFactX="32692" custLinFactNeighborX="100000" custLinFactNeighborY="997"/>
      <dgm:spPr/>
    </dgm:pt>
    <dgm:pt modelId="{1F8CF33F-2B06-49DF-8C10-6104DC394266}" type="pres">
      <dgm:prSet presAssocID="{030789D6-32C9-4E87-A35F-C31098AC1260}" presName="childText" presStyleLbl="lnNode1" presStyleIdx="1" presStyleCnt="2" custLinFactNeighborX="-13115" custLinFactNeighborY="414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A70A21AB-F134-4879-B048-58697994F45D}" srcId="{18E48473-F5B5-4FD1-8737-386925F5844E}" destId="{030789D6-32C9-4E87-A35F-C31098AC1260}" srcOrd="1" destOrd="0" parTransId="{97030DF1-0BAB-4E6A-9843-8F492E45E99E}" sibTransId="{54CA6A62-11BF-4B52-A592-EFDD84C40D64}"/>
    <dgm:cxn modelId="{0A672F63-47CB-427C-8B69-919CC0BAECF1}" type="presOf" srcId="{030789D6-32C9-4E87-A35F-C31098AC1260}" destId="{1F8CF33F-2B06-49DF-8C10-6104DC394266}" srcOrd="0" destOrd="0" presId="urn:microsoft.com/office/officeart/2008/layout/PictureAccentList"/>
    <dgm:cxn modelId="{899AB94E-8538-4624-B2D6-8A8B0DD11E45}" type="presOf" srcId="{411DD21D-C437-45C2-98EB-F604D9EC8AB6}" destId="{031BDADD-C0AD-41BD-9015-D05469989240}" srcOrd="0" destOrd="0" presId="urn:microsoft.com/office/officeart/2008/layout/PictureAccentList"/>
    <dgm:cxn modelId="{E358887C-BF2D-4A48-82BA-63A6BAE215C4}" srcId="{18E48473-F5B5-4FD1-8737-386925F5844E}" destId="{BF4CF716-39B6-49FD-BB80-E49C383D0DCC}" srcOrd="0" destOrd="0" parTransId="{A56BF02D-4B78-4B69-8862-166A33C23D72}" sibTransId="{B0E3AC39-5273-488F-B709-6E2920A920FC}"/>
    <dgm:cxn modelId="{3CC33008-7324-4642-BB67-407B8CF811B5}" srcId="{411DD21D-C437-45C2-98EB-F604D9EC8AB6}" destId="{18E48473-F5B5-4FD1-8737-386925F5844E}" srcOrd="0" destOrd="0" parTransId="{EC21C3D3-116C-4E03-8E4A-FCA11939D0D3}" sibTransId="{AEB8F436-E2D5-4186-8838-5962C17D35BB}"/>
    <dgm:cxn modelId="{2B2A9717-A21C-45BB-907C-40157D4B7E7E}" type="presOf" srcId="{18E48473-F5B5-4FD1-8737-386925F5844E}" destId="{D5EAE29F-46C6-41AB-BEE4-BE66F21FEB26}" srcOrd="0" destOrd="0" presId="urn:microsoft.com/office/officeart/2008/layout/PictureAccentList"/>
    <dgm:cxn modelId="{538DC727-343B-4153-8ED7-B95208F7D5AC}" type="presOf" srcId="{BF4CF716-39B6-49FD-BB80-E49C383D0DCC}" destId="{E12EF70E-1CD3-45D6-B8F2-282FEE444E28}" srcOrd="0" destOrd="0" presId="urn:microsoft.com/office/officeart/2008/layout/PictureAccentList"/>
    <dgm:cxn modelId="{B9B4D310-203E-4ACA-92FA-80AF14F31800}" type="presParOf" srcId="{031BDADD-C0AD-41BD-9015-D05469989240}" destId="{EF7AC088-6DA3-42C8-8F4B-90921376B8C4}" srcOrd="0" destOrd="0" presId="urn:microsoft.com/office/officeart/2008/layout/PictureAccentList"/>
    <dgm:cxn modelId="{E306DECF-CA92-4708-9C2F-0A053A4ABCD1}" type="presParOf" srcId="{EF7AC088-6DA3-42C8-8F4B-90921376B8C4}" destId="{E9DAB2F2-98ED-4C7E-8548-F39ECEAC76DF}" srcOrd="0" destOrd="0" presId="urn:microsoft.com/office/officeart/2008/layout/PictureAccentList"/>
    <dgm:cxn modelId="{9CA850D5-8C56-4F7B-8BFB-92181DCBFC2E}" type="presParOf" srcId="{E9DAB2F2-98ED-4C7E-8548-F39ECEAC76DF}" destId="{D5EAE29F-46C6-41AB-BEE4-BE66F21FEB26}" srcOrd="0" destOrd="0" presId="urn:microsoft.com/office/officeart/2008/layout/PictureAccentList"/>
    <dgm:cxn modelId="{25A3CE76-4B1C-444A-91D9-D7FACC1F34C5}" type="presParOf" srcId="{EF7AC088-6DA3-42C8-8F4B-90921376B8C4}" destId="{57504668-DD0F-4617-ADC0-77316CFBD9C3}" srcOrd="1" destOrd="0" presId="urn:microsoft.com/office/officeart/2008/layout/PictureAccentList"/>
    <dgm:cxn modelId="{D87A2175-6A5F-461F-8F66-B03BDBADA2BF}" type="presParOf" srcId="{57504668-DD0F-4617-ADC0-77316CFBD9C3}" destId="{329E627F-5013-485F-8C4A-F5C46AD71B57}" srcOrd="0" destOrd="0" presId="urn:microsoft.com/office/officeart/2008/layout/PictureAccentList"/>
    <dgm:cxn modelId="{0B6107CA-F1ED-404D-9F54-5EB69812836C}" type="presParOf" srcId="{329E627F-5013-485F-8C4A-F5C46AD71B57}" destId="{1E10AD33-217E-4F8E-A7EF-8A12AE88B2ED}" srcOrd="0" destOrd="0" presId="urn:microsoft.com/office/officeart/2008/layout/PictureAccentList"/>
    <dgm:cxn modelId="{C617B33C-DDDF-4A87-BDBE-DB32A896A833}" type="presParOf" srcId="{329E627F-5013-485F-8C4A-F5C46AD71B57}" destId="{E12EF70E-1CD3-45D6-B8F2-282FEE444E28}" srcOrd="1" destOrd="0" presId="urn:microsoft.com/office/officeart/2008/layout/PictureAccentList"/>
    <dgm:cxn modelId="{D19D3BAD-98D7-4A51-952E-798A7AC4612E}" type="presParOf" srcId="{57504668-DD0F-4617-ADC0-77316CFBD9C3}" destId="{8E638AC9-38C3-465D-B0E5-C7468CC903DE}" srcOrd="1" destOrd="0" presId="urn:microsoft.com/office/officeart/2008/layout/PictureAccentList"/>
    <dgm:cxn modelId="{C0CD17B4-189E-4E3E-987E-AD5849463E6E}" type="presParOf" srcId="{8E638AC9-38C3-465D-B0E5-C7468CC903DE}" destId="{D9E39032-25BB-4F86-9E46-C40F2AD1EB7F}" srcOrd="0" destOrd="0" presId="urn:microsoft.com/office/officeart/2008/layout/PictureAccentList"/>
    <dgm:cxn modelId="{ED1BDA60-94CD-451B-8FAD-C0AD99A0DE08}" type="presParOf" srcId="{8E638AC9-38C3-465D-B0E5-C7468CC903DE}" destId="{1F8CF33F-2B06-49DF-8C10-6104DC394266}" srcOrd="1" destOrd="0" presId="urn:microsoft.com/office/officeart/2008/layout/PictureAccentList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5EAE29F-46C6-41AB-BEE4-BE66F21FEB26}">
      <dsp:nvSpPr>
        <dsp:cNvPr id="0" name=""/>
        <dsp:cNvSpPr/>
      </dsp:nvSpPr>
      <dsp:spPr>
        <a:xfrm>
          <a:off x="81802" y="195200"/>
          <a:ext cx="3336152" cy="39046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7940" rIns="41910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2200" kern="1200"/>
            <a:t>Índice aplicado</a:t>
          </a:r>
        </a:p>
      </dsp:txBody>
      <dsp:txXfrm>
        <a:off x="93238" y="206636"/>
        <a:ext cx="3313280" cy="367592"/>
      </dsp:txXfrm>
    </dsp:sp>
    <dsp:sp modelId="{1E10AD33-217E-4F8E-A7EF-8A12AE88B2ED}">
      <dsp:nvSpPr>
        <dsp:cNvPr id="0" name=""/>
        <dsp:cNvSpPr/>
      </dsp:nvSpPr>
      <dsp:spPr>
        <a:xfrm flipV="1">
          <a:off x="0" y="1596523"/>
          <a:ext cx="24380" cy="60826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2EF70E-1CD3-45D6-B8F2-282FEE444E28}">
      <dsp:nvSpPr>
        <dsp:cNvPr id="0" name=""/>
        <dsp:cNvSpPr/>
      </dsp:nvSpPr>
      <dsp:spPr>
        <a:xfrm>
          <a:off x="219236" y="634364"/>
          <a:ext cx="2922260" cy="390464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Exercício 2022: 25,58%</a:t>
          </a:r>
        </a:p>
      </dsp:txBody>
      <dsp:txXfrm>
        <a:off x="238300" y="653428"/>
        <a:ext cx="2884132" cy="352336"/>
      </dsp:txXfrm>
    </dsp:sp>
    <dsp:sp modelId="{D9E39032-25BB-4F86-9E46-C40F2AD1EB7F}">
      <dsp:nvSpPr>
        <dsp:cNvPr id="0" name=""/>
        <dsp:cNvSpPr/>
      </dsp:nvSpPr>
      <dsp:spPr>
        <a:xfrm rot="10153592" flipV="1">
          <a:off x="519549" y="1204083"/>
          <a:ext cx="792670" cy="155037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8CF33F-2B06-49DF-8C10-6104DC394266}">
      <dsp:nvSpPr>
        <dsp:cNvPr id="0" name=""/>
        <dsp:cNvSpPr/>
      </dsp:nvSpPr>
      <dsp:spPr>
        <a:xfrm>
          <a:off x="233175" y="1098669"/>
          <a:ext cx="2922260" cy="390464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Exercício 2023: 31,05%</a:t>
          </a:r>
        </a:p>
      </dsp:txBody>
      <dsp:txXfrm>
        <a:off x="252239" y="1117733"/>
        <a:ext cx="2884132" cy="35233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5EAE29F-46C6-41AB-BEE4-BE66F21FEB26}">
      <dsp:nvSpPr>
        <dsp:cNvPr id="0" name=""/>
        <dsp:cNvSpPr/>
      </dsp:nvSpPr>
      <dsp:spPr>
        <a:xfrm>
          <a:off x="81802" y="195200"/>
          <a:ext cx="3336152" cy="39046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7940" rIns="41910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2200" kern="1200"/>
            <a:t>Índice aplicado</a:t>
          </a:r>
        </a:p>
      </dsp:txBody>
      <dsp:txXfrm>
        <a:off x="93238" y="206636"/>
        <a:ext cx="3313280" cy="367592"/>
      </dsp:txXfrm>
    </dsp:sp>
    <dsp:sp modelId="{1E10AD33-217E-4F8E-A7EF-8A12AE88B2ED}">
      <dsp:nvSpPr>
        <dsp:cNvPr id="0" name=""/>
        <dsp:cNvSpPr/>
      </dsp:nvSpPr>
      <dsp:spPr>
        <a:xfrm flipV="1">
          <a:off x="0" y="1596523"/>
          <a:ext cx="24380" cy="60826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2EF70E-1CD3-45D6-B8F2-282FEE444E28}">
      <dsp:nvSpPr>
        <dsp:cNvPr id="0" name=""/>
        <dsp:cNvSpPr/>
      </dsp:nvSpPr>
      <dsp:spPr>
        <a:xfrm>
          <a:off x="219236" y="634364"/>
          <a:ext cx="2922260" cy="390464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Exercício 2022: 25,40%</a:t>
          </a:r>
        </a:p>
      </dsp:txBody>
      <dsp:txXfrm>
        <a:off x="238300" y="653428"/>
        <a:ext cx="2884132" cy="352336"/>
      </dsp:txXfrm>
    </dsp:sp>
    <dsp:sp modelId="{D9E39032-25BB-4F86-9E46-C40F2AD1EB7F}">
      <dsp:nvSpPr>
        <dsp:cNvPr id="0" name=""/>
        <dsp:cNvSpPr/>
      </dsp:nvSpPr>
      <dsp:spPr>
        <a:xfrm rot="10153592" flipV="1">
          <a:off x="519549" y="1204083"/>
          <a:ext cx="792670" cy="155037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8CF33F-2B06-49DF-8C10-6104DC394266}">
      <dsp:nvSpPr>
        <dsp:cNvPr id="0" name=""/>
        <dsp:cNvSpPr/>
      </dsp:nvSpPr>
      <dsp:spPr>
        <a:xfrm>
          <a:off x="233175" y="1098669"/>
          <a:ext cx="2922260" cy="390464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Exercício 2023: 24,96 %</a:t>
          </a:r>
        </a:p>
      </dsp:txBody>
      <dsp:txXfrm>
        <a:off x="252239" y="1117733"/>
        <a:ext cx="2884132" cy="3523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770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4</cp:revision>
  <dcterms:created xsi:type="dcterms:W3CDTF">2024-04-16T13:36:00Z</dcterms:created>
  <dcterms:modified xsi:type="dcterms:W3CDTF">2024-04-16T13:54:00Z</dcterms:modified>
</cp:coreProperties>
</file>